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33" w:rsidRPr="00762786" w:rsidRDefault="00BB0D33" w:rsidP="00BB0D33">
      <w:pPr>
        <w:rPr>
          <w:sz w:val="22"/>
        </w:rPr>
      </w:pPr>
      <w:bookmarkStart w:id="0" w:name="_GoBack"/>
      <w:bookmarkEnd w:id="0"/>
      <w:r w:rsidRPr="00762786">
        <w:rPr>
          <w:sz w:val="22"/>
        </w:rPr>
        <w:t>1</w:t>
      </w:r>
      <w:r w:rsidR="00F649B7" w:rsidRPr="00762786">
        <w:rPr>
          <w:sz w:val="22"/>
        </w:rPr>
        <w:t>.</w:t>
      </w:r>
      <w:r w:rsidRPr="00762786">
        <w:rPr>
          <w:sz w:val="22"/>
        </w:rPr>
        <w:t>Становление стандартов ИБ Банка России.</w:t>
      </w:r>
    </w:p>
    <w:p w:rsidR="003A4286" w:rsidRPr="00762786" w:rsidRDefault="00F649B7" w:rsidP="003A4286">
      <w:pPr>
        <w:rPr>
          <w:rFonts w:eastAsia="Times New Roman" w:cs="Times New Roman"/>
          <w:sz w:val="22"/>
          <w:lang w:eastAsia="ru-RU"/>
        </w:rPr>
      </w:pPr>
      <w:r w:rsidRPr="00762786">
        <w:rPr>
          <w:rFonts w:eastAsia="Times New Roman" w:cs="Times New Roman"/>
          <w:sz w:val="22"/>
          <w:lang w:eastAsia="ru-RU"/>
        </w:rPr>
        <w:t xml:space="preserve">В России до середины 2000-х годов слово </w:t>
      </w:r>
      <w:r w:rsidRPr="00762786">
        <w:rPr>
          <w:rFonts w:eastAsia="Times New Roman" w:cs="Times New Roman"/>
          <w:i/>
          <w:iCs/>
          <w:sz w:val="22"/>
          <w:lang w:eastAsia="ru-RU"/>
        </w:rPr>
        <w:t xml:space="preserve">«безопасность» </w:t>
      </w:r>
      <w:r w:rsidRPr="00762786">
        <w:rPr>
          <w:rFonts w:eastAsia="Times New Roman" w:cs="Times New Roman"/>
          <w:sz w:val="22"/>
          <w:lang w:eastAsia="ru-RU"/>
        </w:rPr>
        <w:t xml:space="preserve">преимущественно ассоциировали с управлением </w:t>
      </w:r>
      <w:hyperlink r:id="rId6">
        <w:r w:rsidRPr="00762786">
          <w:rPr>
            <w:rStyle w:val="-"/>
            <w:rFonts w:eastAsia="Times New Roman" w:cs="Times New Roman"/>
            <w:i/>
            <w:iCs/>
            <w:sz w:val="22"/>
            <w:lang w:eastAsia="ru-RU"/>
          </w:rPr>
          <w:t>«банковскими рисками»</w:t>
        </w:r>
      </w:hyperlink>
      <w:r w:rsidRPr="00762786">
        <w:rPr>
          <w:rStyle w:val="-"/>
          <w:rFonts w:eastAsia="Times New Roman" w:cs="Times New Roman"/>
          <w:i/>
          <w:iCs/>
          <w:sz w:val="22"/>
          <w:lang w:eastAsia="ru-RU"/>
        </w:rPr>
        <w:t xml:space="preserve">. </w:t>
      </w:r>
      <w:r w:rsidRPr="00762786">
        <w:rPr>
          <w:rFonts w:eastAsia="Times New Roman" w:cs="Times New Roman"/>
          <w:sz w:val="22"/>
          <w:lang w:eastAsia="ru-RU"/>
        </w:rPr>
        <w:t xml:space="preserve">Только лишь федеральный закон </w:t>
      </w:r>
      <w:hyperlink r:id="rId7">
        <w:r w:rsidRPr="00762786">
          <w:rPr>
            <w:rStyle w:val="-"/>
            <w:rFonts w:eastAsia="Times New Roman" w:cs="Times New Roman"/>
            <w:sz w:val="22"/>
            <w:lang w:eastAsia="ru-RU"/>
          </w:rPr>
          <w:t>«О банковской деятельности» от 02.12.1990 N 395-1</w:t>
        </w:r>
      </w:hyperlink>
      <w:r w:rsidRPr="00762786">
        <w:rPr>
          <w:rFonts w:eastAsia="Times New Roman" w:cs="Times New Roman"/>
          <w:sz w:val="22"/>
          <w:lang w:eastAsia="ru-RU"/>
        </w:rPr>
        <w:t xml:space="preserve"> ФЗ в </w:t>
      </w:r>
      <w:hyperlink r:id="rId8" w:anchor="p803" w:history="1">
        <w:r w:rsidRPr="00762786">
          <w:rPr>
            <w:rStyle w:val="-"/>
            <w:rFonts w:eastAsia="Times New Roman" w:cs="Times New Roman"/>
            <w:sz w:val="22"/>
            <w:lang w:eastAsia="ru-RU"/>
          </w:rPr>
          <w:t>ст.26 Банковская тайна</w:t>
        </w:r>
      </w:hyperlink>
      <w:r w:rsidRPr="00762786">
        <w:rPr>
          <w:rFonts w:eastAsia="Times New Roman" w:cs="Times New Roman"/>
          <w:sz w:val="22"/>
          <w:lang w:eastAsia="ru-RU"/>
        </w:rPr>
        <w:t xml:space="preserve"> давал ограниченное право и возможность на защиту конфиденциальных сведений в банковской сфере</w:t>
      </w:r>
      <w:r w:rsidR="003A4286" w:rsidRPr="00762786">
        <w:rPr>
          <w:rFonts w:eastAsia="Times New Roman" w:cs="Times New Roman"/>
          <w:sz w:val="22"/>
          <w:lang w:eastAsia="ru-RU"/>
        </w:rPr>
        <w:t xml:space="preserve">. Федеральный закон </w:t>
      </w:r>
      <w:hyperlink r:id="rId9">
        <w:r w:rsidR="003A4286" w:rsidRPr="00762786">
          <w:rPr>
            <w:rStyle w:val="a5"/>
            <w:rFonts w:eastAsia="Times New Roman" w:cs="Times New Roman"/>
            <w:sz w:val="22"/>
            <w:lang w:eastAsia="ru-RU"/>
          </w:rPr>
          <w:t>«О коммерческой тайне» 29.07.2004 N 98-ФЗ</w:t>
        </w:r>
      </w:hyperlink>
      <w:r w:rsidR="003A4286" w:rsidRPr="00762786">
        <w:rPr>
          <w:rFonts w:eastAsia="Times New Roman" w:cs="Times New Roman"/>
          <w:sz w:val="22"/>
          <w:lang w:eastAsia="ru-RU"/>
        </w:rPr>
        <w:t>, позволяющий, наконец то, полноценно заявить о новом виде деятельности и отдельной категории вопросов таких как «информационная безопасность банков».</w:t>
      </w:r>
    </w:p>
    <w:p w:rsidR="00BB0D33" w:rsidRPr="00762786" w:rsidRDefault="003A4286" w:rsidP="00BB0D33">
      <w:pPr>
        <w:rPr>
          <w:rFonts w:eastAsia="Times New Roman" w:cs="Times New Roman"/>
          <w:sz w:val="22"/>
          <w:lang w:eastAsia="ru-RU"/>
        </w:rPr>
      </w:pPr>
      <w:r w:rsidRPr="00762786">
        <w:rPr>
          <w:rFonts w:eastAsia="Times New Roman" w:cs="Times New Roman"/>
          <w:sz w:val="22"/>
          <w:lang w:eastAsia="ru-RU"/>
        </w:rPr>
        <w:t xml:space="preserve">наметились тенденции для принятия международных банковских стандартов, в частности стандарта </w:t>
      </w:r>
      <w:hyperlink r:id="rId10">
        <w:r w:rsidRPr="00762786">
          <w:rPr>
            <w:rStyle w:val="-"/>
            <w:rFonts w:eastAsia="Times New Roman" w:cs="Times New Roman"/>
            <w:sz w:val="22"/>
            <w:lang w:eastAsia="ru-RU"/>
          </w:rPr>
          <w:t>Базель II</w:t>
        </w:r>
      </w:hyperlink>
      <w:r w:rsidRPr="00762786">
        <w:rPr>
          <w:rFonts w:eastAsia="Times New Roman" w:cs="Times New Roman"/>
          <w:sz w:val="22"/>
          <w:lang w:eastAsia="ru-RU"/>
        </w:rPr>
        <w:t>. В своей трактовке этот стандарт рассматривал информационную безопасность как операционный риск и, в целом, требовал мер по аудиту и контролю за информационной сферой, что являлось абсолютным новшеством для российских банков в то время.</w:t>
      </w:r>
    </w:p>
    <w:p w:rsidR="003A4286" w:rsidRPr="00762786" w:rsidRDefault="003A4286" w:rsidP="003A4286">
      <w:pPr>
        <w:rPr>
          <w:sz w:val="22"/>
        </w:rPr>
      </w:pPr>
      <w:r w:rsidRPr="00762786">
        <w:rPr>
          <w:sz w:val="22"/>
        </w:rPr>
        <w:t xml:space="preserve">2004 год с выпуском Центральным Банком России первой редакции пакета </w:t>
      </w:r>
      <w:hyperlink r:id="rId11">
        <w:r w:rsidRPr="00762786">
          <w:rPr>
            <w:rStyle w:val="a5"/>
            <w:sz w:val="22"/>
          </w:rPr>
          <w:t>отечественных отраслевых стандартов по информационной безопасности СТО БР ИБСС</w:t>
        </w:r>
      </w:hyperlink>
      <w:r w:rsidRPr="00762786">
        <w:rPr>
          <w:sz w:val="22"/>
        </w:rPr>
        <w:t xml:space="preserve">. Стандарт ЦБ по ИТ-безопасности считался лучшим отраслевым стандартом на то время, ведь он вобрал в себя лучший мировой опыт и практику, объединяет в себе основные положения стандартов по управлению ИТ-безопасностью (ISO 17799, 13335), регламентирует описание жизненного цикла программных средств и критерии оценки ИТ-безопасности (ГОСТ Р ИСО/МЭК 15408-1-2-3). </w:t>
      </w:r>
    </w:p>
    <w:p w:rsidR="00852B11" w:rsidRPr="00762786" w:rsidRDefault="003A4286" w:rsidP="00BB0D33">
      <w:pPr>
        <w:rPr>
          <w:sz w:val="22"/>
        </w:rPr>
      </w:pPr>
      <w:r w:rsidRPr="00762786">
        <w:rPr>
          <w:rFonts w:eastAsia="Times New Roman" w:cs="Times New Roman"/>
          <w:sz w:val="22"/>
          <w:lang w:eastAsia="ru-RU"/>
        </w:rPr>
        <w:t>Среди основных положений стандарта ЦБ можно было отметить ориентацию на решение проблемы инсайдеров.</w:t>
      </w:r>
      <w:r w:rsidR="00852B11" w:rsidRPr="00762786">
        <w:rPr>
          <w:rFonts w:eastAsia="Times New Roman" w:cs="Times New Roman"/>
          <w:sz w:val="22"/>
          <w:lang w:eastAsia="ru-RU"/>
        </w:rPr>
        <w:t xml:space="preserve"> Значительное внимание уделено внешним угрозам. Несмотря на все эти очевидные преимущества стандарт носил рекомендательный характер.</w:t>
      </w:r>
    </w:p>
    <w:p w:rsidR="00F649B7" w:rsidRPr="00762786" w:rsidRDefault="00852B11" w:rsidP="00BB0D33">
      <w:pPr>
        <w:rPr>
          <w:sz w:val="22"/>
        </w:rPr>
      </w:pPr>
      <w:r w:rsidRPr="00762786">
        <w:rPr>
          <w:rFonts w:eastAsia="Times New Roman" w:cs="Times New Roman"/>
          <w:sz w:val="22"/>
          <w:lang w:eastAsia="ru-RU"/>
        </w:rPr>
        <w:t xml:space="preserve">Учитывая все эти нововведения (149-фз, 152-фз) и меняющиеся реалии общества, в свет выходили и новые редакции СТО БР ИББС. Так, </w:t>
      </w:r>
      <w:hyperlink r:id="rId12">
        <w:r w:rsidRPr="00762786">
          <w:rPr>
            <w:rStyle w:val="-"/>
            <w:rFonts w:eastAsia="Times New Roman" w:cs="Times New Roman"/>
            <w:sz w:val="22"/>
            <w:lang w:eastAsia="ru-RU"/>
          </w:rPr>
          <w:t>в третьей редакции стандарта от 2008 года</w:t>
        </w:r>
      </w:hyperlink>
      <w:r w:rsidRPr="00762786">
        <w:rPr>
          <w:rFonts w:eastAsia="Times New Roman" w:cs="Times New Roman"/>
          <w:sz w:val="22"/>
          <w:lang w:eastAsia="ru-RU"/>
        </w:rPr>
        <w:t>, пакет документов был значительно переработан, повелись новые, были уточнены некоторые требования по обеспечению безопасности; обновлены требования к системе менеджмента информационной безопасности. Также стандарт обзавелся собственной моделью угроз и нарушителей ИБ организаций БС РФ. Введены новые блоки по требования ИБ в автоматизированных банковских системах, регламентирован процесс банковских платежных и информационных технологических процессов, применение средств криптографической защиты информации.</w:t>
      </w:r>
    </w:p>
    <w:p w:rsidR="00852B11" w:rsidRPr="00762786" w:rsidRDefault="00852B11" w:rsidP="00BB0D33">
      <w:pPr>
        <w:rPr>
          <w:rFonts w:eastAsia="Times New Roman" w:cs="Times New Roman"/>
          <w:sz w:val="22"/>
          <w:lang w:eastAsia="ru-RU"/>
        </w:rPr>
      </w:pPr>
      <w:r w:rsidRPr="00762786">
        <w:rPr>
          <w:rFonts w:eastAsia="Times New Roman" w:cs="Times New Roman"/>
          <w:sz w:val="22"/>
          <w:lang w:eastAsia="ru-RU"/>
        </w:rPr>
        <w:t xml:space="preserve">Изменения в </w:t>
      </w:r>
      <w:hyperlink r:id="rId13">
        <w:r w:rsidRPr="00762786">
          <w:rPr>
            <w:rStyle w:val="-"/>
            <w:rFonts w:eastAsia="Times New Roman" w:cs="Times New Roman"/>
            <w:sz w:val="22"/>
            <w:lang w:eastAsia="ru-RU"/>
          </w:rPr>
          <w:t>четвертой редакции</w:t>
        </w:r>
      </w:hyperlink>
      <w:r w:rsidRPr="00762786">
        <w:rPr>
          <w:rFonts w:eastAsia="Times New Roman" w:cs="Times New Roman"/>
          <w:sz w:val="22"/>
          <w:lang w:eastAsia="ru-RU"/>
        </w:rPr>
        <w:t xml:space="preserve"> (2010г) главным образом касались обновленной методики защиты Персональных данных (ПДн). (Документ отменили так как он повторял текущее законодательство по защите ПДн).</w:t>
      </w:r>
    </w:p>
    <w:p w:rsidR="00762786" w:rsidRPr="00762786" w:rsidRDefault="00762786" w:rsidP="00762786">
      <w:pPr>
        <w:rPr>
          <w:rFonts w:eastAsia="Times New Roman" w:cs="Times New Roman"/>
          <w:color w:val="0000FF"/>
          <w:sz w:val="22"/>
          <w:u w:val="single"/>
          <w:lang w:eastAsia="ru-RU"/>
        </w:rPr>
      </w:pPr>
      <w:r w:rsidRPr="00762786">
        <w:rPr>
          <w:rFonts w:eastAsia="Times New Roman" w:cs="Times New Roman"/>
          <w:sz w:val="22"/>
          <w:lang w:eastAsia="ru-RU"/>
        </w:rPr>
        <w:t xml:space="preserve">В 2011 году председатель правительства Владимир Путин подписывает федеральный закон </w:t>
      </w:r>
      <w:hyperlink r:id="rId14">
        <w:r w:rsidRPr="00762786">
          <w:rPr>
            <w:rStyle w:val="-"/>
            <w:rFonts w:eastAsia="Times New Roman" w:cs="Times New Roman"/>
            <w:sz w:val="22"/>
            <w:lang w:eastAsia="ru-RU"/>
          </w:rPr>
          <w:t>«О национальной платежной системе «от 27.06.2011 N 161-ФЗ</w:t>
        </w:r>
      </w:hyperlink>
      <w:r w:rsidRPr="00762786">
        <w:rPr>
          <w:rStyle w:val="-"/>
          <w:rFonts w:eastAsia="Times New Roman" w:cs="Times New Roman"/>
          <w:sz w:val="22"/>
          <w:lang w:eastAsia="ru-RU"/>
        </w:rPr>
        <w:t xml:space="preserve">. </w:t>
      </w:r>
      <w:r w:rsidRPr="00762786">
        <w:rPr>
          <w:rFonts w:eastAsia="Times New Roman" w:cs="Times New Roman"/>
          <w:sz w:val="22"/>
          <w:lang w:eastAsia="ru-RU"/>
        </w:rPr>
        <w:t xml:space="preserve">Для выполнения поручения президента спустя год Приказом Банка России выходит документ </w:t>
      </w:r>
      <w:r w:rsidRPr="00762786">
        <w:rPr>
          <w:rFonts w:eastAsia="Times New Roman" w:cs="Times New Roman"/>
          <w:color w:val="0000FF"/>
          <w:sz w:val="22"/>
          <w:u w:val="single"/>
          <w:lang w:eastAsia="ru-RU"/>
        </w:rPr>
        <w:t>«</w:t>
      </w:r>
      <w:hyperlink r:id="rId15">
        <w:r w:rsidRPr="00762786">
          <w:rPr>
            <w:rStyle w:val="a5"/>
            <w:rFonts w:eastAsia="Times New Roman" w:cs="Times New Roman"/>
            <w:sz w:val="22"/>
            <w:lang w:eastAsia="ru-RU"/>
          </w:rPr>
          <w:t>Положение о требованиях к обеспечению защиты информации при осуществлении переводов денежных средств…»  от 09.06.2012 N 382-П)</w:t>
        </w:r>
      </w:hyperlink>
      <w:r w:rsidRPr="00762786">
        <w:rPr>
          <w:rFonts w:eastAsia="Times New Roman" w:cs="Times New Roman"/>
          <w:color w:val="0000FF"/>
          <w:sz w:val="22"/>
          <w:u w:val="single"/>
          <w:lang w:eastAsia="ru-RU"/>
        </w:rPr>
        <w:t>.</w:t>
      </w:r>
    </w:p>
    <w:p w:rsidR="00762786" w:rsidRPr="00762786" w:rsidRDefault="00F90FD8" w:rsidP="00BB0D33">
      <w:pPr>
        <w:rPr>
          <w:sz w:val="22"/>
        </w:rPr>
      </w:pPr>
      <w:hyperlink r:id="rId16">
        <w:r w:rsidR="00762786" w:rsidRPr="00762786">
          <w:rPr>
            <w:rStyle w:val="-"/>
            <w:rFonts w:eastAsia="Times New Roman" w:cs="Times New Roman"/>
            <w:sz w:val="22"/>
            <w:lang w:eastAsia="ru-RU"/>
          </w:rPr>
          <w:t>национальную систему платежных карт</w:t>
        </w:r>
      </w:hyperlink>
      <w:r w:rsidR="00762786" w:rsidRPr="00762786">
        <w:rPr>
          <w:rFonts w:eastAsia="Times New Roman" w:cs="Times New Roman"/>
          <w:sz w:val="22"/>
          <w:lang w:eastAsia="ru-RU"/>
        </w:rPr>
        <w:t xml:space="preserve">. И в июне 2014 года вступила в силу обновленная пятая, и пока последняя на сегодняшний день, редакция </w:t>
      </w:r>
      <w:hyperlink r:id="rId17">
        <w:r w:rsidR="00762786" w:rsidRPr="00762786">
          <w:rPr>
            <w:rStyle w:val="-"/>
            <w:rFonts w:eastAsia="Times New Roman" w:cs="Times New Roman"/>
            <w:sz w:val="22"/>
            <w:lang w:eastAsia="ru-RU"/>
          </w:rPr>
          <w:t>СТО БР ИББС - 2014</w:t>
        </w:r>
      </w:hyperlink>
      <w:r w:rsidR="00762786" w:rsidRPr="00762786">
        <w:rPr>
          <w:rFonts w:eastAsia="Times New Roman" w:cs="Times New Roman"/>
          <w:sz w:val="22"/>
          <w:lang w:eastAsia="ru-RU"/>
        </w:rPr>
        <w:t>. СТО привели в соответствие с 382-П.</w:t>
      </w:r>
    </w:p>
    <w:p w:rsidR="00852B11" w:rsidRPr="00762786" w:rsidRDefault="00852B11" w:rsidP="00BB0D33">
      <w:pPr>
        <w:rPr>
          <w:sz w:val="22"/>
        </w:rPr>
      </w:pPr>
    </w:p>
    <w:p w:rsidR="00BB0D33" w:rsidRPr="00762786" w:rsidRDefault="00BB0D33" w:rsidP="00BB0D33">
      <w:pPr>
        <w:rPr>
          <w:sz w:val="22"/>
        </w:rPr>
      </w:pPr>
      <w:r w:rsidRPr="00762786">
        <w:rPr>
          <w:sz w:val="22"/>
        </w:rPr>
        <w:t>2. Информационная безопасность в Банках с учетом СТО БР ИББС-2014.</w:t>
      </w:r>
    </w:p>
    <w:p w:rsidR="00B203B7" w:rsidRPr="00B203B7" w:rsidRDefault="00B203B7" w:rsidP="00B203B7">
      <w:pPr>
        <w:rPr>
          <w:sz w:val="22"/>
        </w:rPr>
      </w:pPr>
      <w:r w:rsidRPr="00B203B7">
        <w:rPr>
          <w:sz w:val="22"/>
        </w:rPr>
        <w:t>В настоящий момент распоряжением Банка России пакет документов СТО БР ИББС состоит из следующих частей:</w:t>
      </w:r>
      <w:r>
        <w:rPr>
          <w:sz w:val="22"/>
        </w:rPr>
        <w:t xml:space="preserve"> </w:t>
      </w:r>
      <w:r w:rsidRPr="00B203B7">
        <w:rPr>
          <w:sz w:val="22"/>
        </w:rPr>
        <w:t>являются обязательными для всех банков</w:t>
      </w:r>
    </w:p>
    <w:p w:rsidR="00B203B7" w:rsidRPr="00B203B7" w:rsidRDefault="00F90FD8" w:rsidP="00082346">
      <w:pPr>
        <w:numPr>
          <w:ilvl w:val="0"/>
          <w:numId w:val="1"/>
        </w:numPr>
        <w:tabs>
          <w:tab w:val="clear" w:pos="720"/>
        </w:tabs>
        <w:ind w:left="0" w:firstLine="851"/>
        <w:rPr>
          <w:sz w:val="22"/>
        </w:rPr>
      </w:pPr>
      <w:hyperlink r:id="rId18">
        <w:r w:rsidR="00B203B7" w:rsidRPr="00B203B7">
          <w:rPr>
            <w:rStyle w:val="a5"/>
            <w:sz w:val="22"/>
          </w:rPr>
          <w:t>СТО БР ИББС-1.0-2014. «Общие положения (5 редакция)»</w:t>
        </w:r>
      </w:hyperlink>
      <w:r w:rsidR="00B203B7" w:rsidRPr="00B203B7">
        <w:rPr>
          <w:sz w:val="22"/>
        </w:rPr>
        <w:t>;</w:t>
      </w:r>
      <w:r w:rsidR="00B203B7">
        <w:rPr>
          <w:sz w:val="22"/>
        </w:rPr>
        <w:t xml:space="preserve"> </w:t>
      </w:r>
      <w:r w:rsidR="00B203B7">
        <w:rPr>
          <w:sz w:val="22"/>
        </w:rPr>
        <w:noBreakHyphen/>
        <w:t xml:space="preserve"> </w:t>
      </w:r>
      <w:r w:rsidR="00B203B7" w:rsidRPr="00B203B7">
        <w:rPr>
          <w:sz w:val="22"/>
        </w:rPr>
        <w:t>основ</w:t>
      </w:r>
      <w:r w:rsidR="00B203B7">
        <w:rPr>
          <w:sz w:val="22"/>
        </w:rPr>
        <w:t>а</w:t>
      </w:r>
      <w:r w:rsidR="00B203B7" w:rsidRPr="00B203B7">
        <w:rPr>
          <w:sz w:val="22"/>
        </w:rPr>
        <w:t xml:space="preserve"> для формирования всех мероприятий по защите информации. Вся структура разбита на отдельные блоки. В них подробно описываются требования к обеспечению безопасности, даются конкретные перечни мер защиты по тому или иному блоку.</w:t>
      </w:r>
    </w:p>
    <w:p w:rsidR="00B203B7" w:rsidRPr="00B203B7" w:rsidRDefault="00F90FD8" w:rsidP="00082346">
      <w:pPr>
        <w:numPr>
          <w:ilvl w:val="0"/>
          <w:numId w:val="1"/>
        </w:numPr>
        <w:tabs>
          <w:tab w:val="clear" w:pos="720"/>
        </w:tabs>
        <w:ind w:left="0" w:firstLine="851"/>
        <w:rPr>
          <w:sz w:val="22"/>
        </w:rPr>
      </w:pPr>
      <w:hyperlink r:id="rId19">
        <w:r w:rsidR="00B203B7" w:rsidRPr="00B203B7">
          <w:rPr>
            <w:rStyle w:val="a5"/>
            <w:sz w:val="22"/>
          </w:rPr>
          <w:t>СТО БР ИББС-1.1-2007. «Аудит информационной безопасности»;</w:t>
        </w:r>
      </w:hyperlink>
      <w:r w:rsidR="00B203B7">
        <w:rPr>
          <w:sz w:val="22"/>
        </w:rPr>
        <w:t xml:space="preserve"> </w:t>
      </w:r>
      <w:r w:rsidR="00B203B7" w:rsidRPr="00B203B7">
        <w:rPr>
          <w:sz w:val="22"/>
        </w:rPr>
        <w:t>указывает на необходимость проведение аудита системы ИБ, а также дает отсылку к проведению ежегодной самооценки по требованиям стандарта. Данные итоговой самооценки служат базой как для формы отчетности в случае проверки Центральным Банком, так и заключением соответствия уровня защищенности системы информационной безопасности банка выявленным рискам и угрозам ИБ.</w:t>
      </w:r>
    </w:p>
    <w:p w:rsidR="00B203B7" w:rsidRPr="00B203B7" w:rsidRDefault="00F90FD8" w:rsidP="00082346">
      <w:pPr>
        <w:numPr>
          <w:ilvl w:val="0"/>
          <w:numId w:val="1"/>
        </w:numPr>
        <w:tabs>
          <w:tab w:val="clear" w:pos="720"/>
        </w:tabs>
        <w:ind w:left="0" w:firstLine="851"/>
        <w:rPr>
          <w:sz w:val="22"/>
        </w:rPr>
      </w:pPr>
      <w:hyperlink r:id="rId20">
        <w:r w:rsidR="00B203B7" w:rsidRPr="00B203B7">
          <w:rPr>
            <w:rStyle w:val="a5"/>
            <w:sz w:val="22"/>
          </w:rPr>
          <w:t>СТО БР ИББС-1.2-2014. «Методика оценки соответствия информационной безопасности организаций банковской системы Российской Федерации требованиям СТО БР ИББС-1.0-2014 (4 редакция)»;</w:t>
        </w:r>
      </w:hyperlink>
      <w:r w:rsidR="00082346" w:rsidRPr="00082346">
        <w:rPr>
          <w:sz w:val="22"/>
        </w:rPr>
        <w:t xml:space="preserve"> </w:t>
      </w:r>
      <w:r w:rsidR="00082346" w:rsidRPr="00082346">
        <w:rPr>
          <w:sz w:val="22"/>
        </w:rPr>
        <w:noBreakHyphen/>
        <w:t>это свод методик оценки и таблиц с соответствующими полями для заполнения</w:t>
      </w:r>
      <w:r w:rsidR="00082346">
        <w:rPr>
          <w:sz w:val="22"/>
        </w:rPr>
        <w:t xml:space="preserve">. </w:t>
      </w:r>
      <w:r w:rsidR="00082346">
        <w:rPr>
          <w:rFonts w:eastAsia="Times New Roman" w:cs="Times New Roman"/>
          <w:sz w:val="24"/>
          <w:szCs w:val="24"/>
          <w:lang w:eastAsia="ru-RU"/>
        </w:rPr>
        <w:t xml:space="preserve">Каждое мероприятие и мера защиты дают определенное весовое значение в оценке называемый групповой показатель. По результатам групповых показателей выстраивается круговая диаграмма соответствия требованием СТО БР ИББС. </w:t>
      </w:r>
    </w:p>
    <w:p w:rsidR="00B203B7" w:rsidRPr="00B203B7" w:rsidRDefault="00B203B7" w:rsidP="00B203B7">
      <w:pPr>
        <w:rPr>
          <w:sz w:val="22"/>
        </w:rPr>
      </w:pPr>
      <w:r w:rsidRPr="00B203B7">
        <w:rPr>
          <w:sz w:val="22"/>
        </w:rPr>
        <w:t>Кроме того, Банком России разработаны и введены следующие рекомендации в области стандартизации ИБ:</w:t>
      </w:r>
    </w:p>
    <w:p w:rsidR="00B203B7" w:rsidRPr="00B203B7" w:rsidRDefault="00F90FD8" w:rsidP="00082346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rPr>
          <w:sz w:val="22"/>
        </w:rPr>
      </w:pPr>
      <w:hyperlink r:id="rId21">
        <w:r w:rsidR="00B203B7" w:rsidRPr="00B203B7">
          <w:rPr>
            <w:rStyle w:val="a5"/>
            <w:sz w:val="22"/>
          </w:rPr>
          <w:t>РС БР ИББС-2.0-2007. «Методические рекомендации по документации в области обеспечения информационной безопасности в соответствие с требованиями СТО БР ИББС-1.0»;</w:t>
        </w:r>
      </w:hyperlink>
    </w:p>
    <w:p w:rsidR="00B203B7" w:rsidRPr="00B203B7" w:rsidRDefault="00F90FD8" w:rsidP="00082346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rPr>
          <w:sz w:val="22"/>
        </w:rPr>
      </w:pPr>
      <w:hyperlink r:id="rId22">
        <w:r w:rsidR="00B203B7" w:rsidRPr="00B203B7">
          <w:rPr>
            <w:rStyle w:val="a5"/>
            <w:sz w:val="22"/>
          </w:rPr>
          <w:t>РС БР ИББС-2.1-2007. «Руководство по самооценке соответствия информационной безопасности организаций банковской системы Российской Федерации требованиям СТО БР ИББС-1.</w:t>
        </w:r>
      </w:hyperlink>
      <w:r w:rsidR="00B203B7" w:rsidRPr="00B203B7">
        <w:rPr>
          <w:sz w:val="22"/>
        </w:rPr>
        <w:t>0»;</w:t>
      </w:r>
    </w:p>
    <w:p w:rsidR="00B203B7" w:rsidRPr="00B203B7" w:rsidRDefault="00F90FD8" w:rsidP="00082346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rPr>
          <w:sz w:val="22"/>
        </w:rPr>
      </w:pPr>
      <w:hyperlink r:id="rId23">
        <w:r w:rsidR="00B203B7" w:rsidRPr="00B203B7">
          <w:rPr>
            <w:rStyle w:val="a5"/>
            <w:sz w:val="22"/>
          </w:rPr>
          <w:t>РС БР ИББС-2.2-2009. «Методика оценки рисков нарушения информационной безопасности»;</w:t>
        </w:r>
      </w:hyperlink>
    </w:p>
    <w:p w:rsidR="00B203B7" w:rsidRPr="00B203B7" w:rsidRDefault="00F90FD8" w:rsidP="00082346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rPr>
          <w:sz w:val="22"/>
        </w:rPr>
      </w:pPr>
      <w:hyperlink r:id="rId24">
        <w:r w:rsidR="00B203B7" w:rsidRPr="00B203B7">
          <w:rPr>
            <w:rStyle w:val="a5"/>
            <w:sz w:val="22"/>
          </w:rPr>
          <w:t>РС БР ИББС-2.5-2014. «Менеджмент инцидентов информационной безопасности»</w:t>
        </w:r>
      </w:hyperlink>
    </w:p>
    <w:p w:rsidR="00BB0D33" w:rsidRDefault="00BB0D33" w:rsidP="00BB0D33">
      <w:pPr>
        <w:rPr>
          <w:sz w:val="22"/>
        </w:rPr>
      </w:pPr>
    </w:p>
    <w:p w:rsidR="00B203B7" w:rsidRDefault="00082346" w:rsidP="00BB0D33">
      <w:pPr>
        <w:rPr>
          <w:sz w:val="22"/>
        </w:rPr>
      </w:pPr>
      <w:r>
        <w:rPr>
          <w:noProof/>
          <w:lang w:eastAsia="ru-RU"/>
        </w:rPr>
        <w:lastRenderedPageBreak/>
        <w:drawing>
          <wp:inline distT="0" distB="0" distL="0" distR="9525" wp14:anchorId="074087E4" wp14:editId="51A9D96B">
            <wp:extent cx="2790908" cy="3264220"/>
            <wp:effectExtent l="0" t="0" r="0" b="0"/>
            <wp:docPr id="1" name="Рисунок 4" descr="Круговая диаграмма соответствия требованиям СТО БР ИББ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Круговая диаграмма соответствия требованиям СТО БР ИББС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791" cy="326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346" w:rsidRDefault="008440A2" w:rsidP="00F70C36">
      <w:pPr>
        <w:rPr>
          <w:sz w:val="22"/>
        </w:rPr>
      </w:pPr>
      <w:r w:rsidRPr="008440A2">
        <w:rPr>
          <w:sz w:val="22"/>
        </w:rPr>
        <w:t xml:space="preserve">Что еще можно добавить -- достаточно большое внимание уделяется процессам менеджмента системы информационной безопасности, в частности можно выделить </w:t>
      </w:r>
      <w:r w:rsidRPr="00E30493">
        <w:rPr>
          <w:b/>
          <w:sz w:val="22"/>
        </w:rPr>
        <w:t>Цикл Деминга</w:t>
      </w:r>
      <w:r w:rsidRPr="008440A2">
        <w:rPr>
          <w:sz w:val="22"/>
        </w:rPr>
        <w:t>, используемый топ-менеджерами в управлении качеством</w:t>
      </w:r>
      <w:r w:rsidR="00F70C36">
        <w:rPr>
          <w:sz w:val="22"/>
        </w:rPr>
        <w:t xml:space="preserve">. </w:t>
      </w:r>
      <w:r w:rsidR="00F70C36" w:rsidRPr="00F70C36">
        <w:rPr>
          <w:sz w:val="22"/>
        </w:rPr>
        <w:t>Стоит отметить тот факт, что стало значительно больше уделяться внимания документированию процедур безопасности во внутренних нормативных документах банков. Таким образом, даже если процедура фактически не выполняется, но предусмотрена и документирована, -- это повышает результат внутреннего аудита.</w:t>
      </w:r>
      <w:r w:rsidR="00F70C36">
        <w:rPr>
          <w:sz w:val="22"/>
        </w:rPr>
        <w:t xml:space="preserve"> </w:t>
      </w:r>
      <w:r w:rsidR="00F70C36" w:rsidRPr="00F70C36">
        <w:rPr>
          <w:sz w:val="22"/>
        </w:rPr>
        <w:t>По сравнению с прошлой редакцией возросло количество частных показателей, а так же изменились весовые значения оценок</w:t>
      </w:r>
    </w:p>
    <w:p w:rsidR="008440A2" w:rsidRDefault="00F70C36" w:rsidP="00BB0D33">
      <w:pPr>
        <w:rPr>
          <w:sz w:val="22"/>
        </w:rPr>
      </w:pPr>
      <w:r w:rsidRPr="00F70C36">
        <w:rPr>
          <w:sz w:val="22"/>
        </w:rPr>
        <w:t>Следует сказать еще об одном важном дополнении, касающемся встроенных механизмов защиты в АБС, -- Банк России выпустил рекомендации «Обеспечение информационной безопасности на стадиях жизненного цикла автоматизированных банковских систем» (РС БР ИББС-2.6-2014)». Суть их заключается в том, что теперь банки могут, ссылаясь на этот документ, выставлять требования разработчикам к функционалу программного обеспечения в части механизмов защиты</w:t>
      </w:r>
    </w:p>
    <w:p w:rsidR="008440A2" w:rsidRPr="00762786" w:rsidRDefault="008440A2" w:rsidP="00BB0D33">
      <w:pPr>
        <w:rPr>
          <w:sz w:val="22"/>
        </w:rPr>
      </w:pPr>
    </w:p>
    <w:p w:rsidR="00BB0D33" w:rsidRPr="00762786" w:rsidRDefault="00BB0D33" w:rsidP="00BB0D33">
      <w:pPr>
        <w:rPr>
          <w:sz w:val="22"/>
        </w:rPr>
      </w:pPr>
      <w:r w:rsidRPr="00762786">
        <w:rPr>
          <w:sz w:val="22"/>
        </w:rPr>
        <w:t>3. Защита персональных данных в банках.</w:t>
      </w:r>
    </w:p>
    <w:p w:rsidR="00DB151A" w:rsidRDefault="00DB151A" w:rsidP="00DB151A">
      <w:pPr>
        <w:rPr>
          <w:sz w:val="22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B36BD26" wp14:editId="4CE3BA1E">
            <wp:extent cx="4683318" cy="213888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86114" cy="214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51A" w:rsidRPr="00DB151A" w:rsidRDefault="00F70C36" w:rsidP="00DB151A">
      <w:pPr>
        <w:rPr>
          <w:sz w:val="22"/>
        </w:rPr>
      </w:pPr>
      <w:r>
        <w:rPr>
          <w:sz w:val="22"/>
        </w:rPr>
        <w:t>По текущему законодательству.</w:t>
      </w:r>
      <w:r w:rsidR="00DB151A" w:rsidRPr="00DB151A">
        <w:rPr>
          <w:sz w:val="22"/>
        </w:rPr>
        <w:t xml:space="preserve"> Июльская поправка (261-ФЗ) к 152-ФЗ «О персональных данных» наделила Банк России правами на разработку отраслевых нормативных документов по отдельным вопросам, касающимся обработки персональных данных, что узаконило СТО БР ИББС в качестве отраслевого стандарта обеспечения безопасности персональных данных. Кроме того, было так же утверждено право Банка России на разработку отраслевой модели угроз безопасности ПДн (которой являются РС БР ИББС-2.4-2010).</w:t>
      </w:r>
    </w:p>
    <w:p w:rsidR="00DB151A" w:rsidRPr="00DB151A" w:rsidRDefault="00DB151A" w:rsidP="00DB151A">
      <w:pPr>
        <w:rPr>
          <w:sz w:val="22"/>
        </w:rPr>
      </w:pPr>
      <w:r w:rsidRPr="00DB151A">
        <w:rPr>
          <w:sz w:val="22"/>
        </w:rPr>
        <w:t>Однако ряд положений СТО БР ИББС вступил в конфликт с новой версией закона «О персональных данных»:</w:t>
      </w:r>
    </w:p>
    <w:p w:rsidR="00DB151A" w:rsidRPr="00DB151A" w:rsidRDefault="00DB151A" w:rsidP="00DB151A">
      <w:pPr>
        <w:numPr>
          <w:ilvl w:val="0"/>
          <w:numId w:val="3"/>
        </w:numPr>
        <w:rPr>
          <w:sz w:val="22"/>
        </w:rPr>
      </w:pPr>
      <w:r w:rsidRPr="00DB151A">
        <w:rPr>
          <w:sz w:val="22"/>
        </w:rPr>
        <w:t>федеральный закон не даёт возможность операторам ПДн использовать не сертифицированные, но одобренные руководством организации, средства защиты информации (п.7.4.2 СТО БР ИББС-1.0-2010);</w:t>
      </w:r>
    </w:p>
    <w:p w:rsidR="00DB151A" w:rsidRPr="00DB151A" w:rsidRDefault="00DB151A" w:rsidP="00DB151A">
      <w:pPr>
        <w:numPr>
          <w:ilvl w:val="0"/>
          <w:numId w:val="3"/>
        </w:numPr>
        <w:rPr>
          <w:sz w:val="22"/>
        </w:rPr>
      </w:pPr>
      <w:r w:rsidRPr="00DB151A">
        <w:rPr>
          <w:sz w:val="22"/>
        </w:rPr>
        <w:t>под понятие информационной системы персональных данных, приведенное в законе, подпадают все автоматизированные банковские системы, обрабатывающие персональные данные, без исключения (п. 7.10.9 СТО БР ИББС-1.0-2010 исключает из понятия ИСПДн </w:t>
      </w:r>
      <w:hyperlink r:id="rId27" w:tooltip="Автоматизированная банковская система" w:history="1">
        <w:r w:rsidRPr="00DB151A">
          <w:rPr>
            <w:rStyle w:val="a5"/>
            <w:sz w:val="22"/>
          </w:rPr>
          <w:t>АБС</w:t>
        </w:r>
      </w:hyperlink>
      <w:r w:rsidRPr="00DB151A">
        <w:rPr>
          <w:sz w:val="22"/>
        </w:rPr>
        <w:t>, реализующие банковские платёжные технологические процессы).</w:t>
      </w:r>
    </w:p>
    <w:p w:rsidR="00DB151A" w:rsidRPr="00DB151A" w:rsidRDefault="00DB151A" w:rsidP="00DB151A">
      <w:pPr>
        <w:rPr>
          <w:sz w:val="22"/>
        </w:rPr>
      </w:pPr>
      <w:r w:rsidRPr="00DB151A">
        <w:rPr>
          <w:sz w:val="22"/>
        </w:rPr>
        <w:t>Техническая сторона вопроса защиты персональных данных, согласно 19 статье 152-ФЗ, устанавливается Правительством РФ, а не нормами СТО БР ИББС, что так же противоречит основной идее создания отраслевого стандарта.</w:t>
      </w:r>
    </w:p>
    <w:p w:rsidR="00DB151A" w:rsidRPr="00DB151A" w:rsidRDefault="00DB151A" w:rsidP="00DB151A">
      <w:pPr>
        <w:rPr>
          <w:sz w:val="22"/>
        </w:rPr>
      </w:pPr>
      <w:r w:rsidRPr="00DB151A">
        <w:rPr>
          <w:sz w:val="22"/>
        </w:rPr>
        <w:t>В ближайшее время статус СТО БР ИББС будет уточнён подзаконными нормативными актами Правительства, ФСТЭК, ФСБ, а также информационными письмами Банка России.</w:t>
      </w:r>
    </w:p>
    <w:p w:rsidR="00BB0D33" w:rsidRPr="00DB151A" w:rsidRDefault="00DB151A" w:rsidP="00BB0D33">
      <w:pPr>
        <w:rPr>
          <w:sz w:val="22"/>
        </w:rPr>
      </w:pPr>
      <w:r>
        <w:rPr>
          <w:sz w:val="22"/>
        </w:rPr>
        <w:t>А так, СТО БР ИББС 2.3, своя модель (спецы брали модель, определяли требования и строили перечень необходимых мероприятий)</w:t>
      </w:r>
      <w:r w:rsidR="00717710">
        <w:rPr>
          <w:sz w:val="22"/>
        </w:rPr>
        <w:t xml:space="preserve">. Потом был конфликт с 1119 и приказом 21 (так как банки решили, что они должны полностью соответствовать СТО БР ИББС). Поэтому строгие треболвания были отменены, упрощена классфифкация, таблица уровня защищенности подогнана под приказ 21. </w:t>
      </w:r>
      <w:r w:rsidR="00717710" w:rsidRPr="00717710">
        <w:rPr>
          <w:sz w:val="22"/>
        </w:rPr>
        <w:t>Роскомнадзором отдельно были внесены пояснения в отношении биометрических ПДн</w:t>
      </w:r>
      <w:r w:rsidR="00717710">
        <w:rPr>
          <w:sz w:val="22"/>
        </w:rPr>
        <w:t>??????</w:t>
      </w:r>
    </w:p>
    <w:p w:rsidR="00F70C36" w:rsidRPr="00762786" w:rsidRDefault="00F70C36" w:rsidP="00BB0D33">
      <w:pPr>
        <w:rPr>
          <w:sz w:val="22"/>
        </w:rPr>
      </w:pPr>
    </w:p>
    <w:p w:rsidR="00BB0D33" w:rsidRPr="00762786" w:rsidRDefault="00BB0D33" w:rsidP="00BB0D33">
      <w:pPr>
        <w:rPr>
          <w:sz w:val="22"/>
        </w:rPr>
      </w:pPr>
      <w:r w:rsidRPr="00762786">
        <w:rPr>
          <w:sz w:val="22"/>
        </w:rPr>
        <w:t>4. Информационная безопасность национальной платежной системы.</w:t>
      </w:r>
    </w:p>
    <w:p w:rsidR="00BB0D33" w:rsidRPr="00DC3603" w:rsidRDefault="00DC3603" w:rsidP="00BB0D33">
      <w:pPr>
        <w:rPr>
          <w:rFonts w:eastAsia="Times New Roman" w:cs="Times New Roman"/>
          <w:sz w:val="22"/>
          <w:szCs w:val="24"/>
          <w:lang w:val="en-US" w:eastAsia="ru-RU"/>
        </w:rPr>
      </w:pPr>
      <w:r w:rsidRPr="00DC3603">
        <w:rPr>
          <w:sz w:val="22"/>
          <w:szCs w:val="24"/>
        </w:rPr>
        <w:lastRenderedPageBreak/>
        <w:t xml:space="preserve">МИР. Президент подписал закон о создании в России национальной системы платежных карт (НСПК) и обеспечении бесперебойности работы международных платежных систем. </w:t>
      </w:r>
      <w:r w:rsidRPr="00DC3603">
        <w:rPr>
          <w:rFonts w:eastAsia="Times New Roman" w:cs="Times New Roman"/>
          <w:sz w:val="22"/>
          <w:szCs w:val="24"/>
          <w:lang w:eastAsia="ru-RU"/>
        </w:rPr>
        <w:t>Целью проекта обозначено инфраструктурно и информационно замкнуть процесс осуществления денежных переводов внутри России, закрепить территориально внутри страны операционные центры и платежные клиринговые центры. (крч если нас отключат)</w:t>
      </w:r>
    </w:p>
    <w:p w:rsidR="00DC3603" w:rsidRPr="00E30493" w:rsidRDefault="00DC3603" w:rsidP="00BB0D33">
      <w:pPr>
        <w:rPr>
          <w:rFonts w:eastAsia="Times New Roman" w:cs="Times New Roman"/>
          <w:sz w:val="22"/>
          <w:szCs w:val="24"/>
          <w:lang w:eastAsia="ru-RU"/>
        </w:rPr>
      </w:pPr>
      <w:r w:rsidRPr="00DC3603">
        <w:rPr>
          <w:rFonts w:eastAsia="Times New Roman" w:cs="Times New Roman"/>
          <w:sz w:val="22"/>
          <w:szCs w:val="24"/>
          <w:lang w:eastAsia="ru-RU"/>
        </w:rPr>
        <w:t>НПС дает возможность отслеживает все денежные операции, в том числе финансирование сомнительных сделок и мошеннические операции, которые могут угрожать безопасности граждан или страны в целом.</w:t>
      </w:r>
    </w:p>
    <w:p w:rsidR="00DC3603" w:rsidRPr="00DC3603" w:rsidRDefault="00DC3603" w:rsidP="00DC3603">
      <w:pPr>
        <w:rPr>
          <w:sz w:val="22"/>
          <w:szCs w:val="24"/>
        </w:rPr>
      </w:pPr>
      <w:r w:rsidRPr="00DC3603">
        <w:rPr>
          <w:sz w:val="22"/>
          <w:szCs w:val="24"/>
        </w:rPr>
        <w:t>Для обеспечения безопасности НПС был выпущен целый рад подзаконных актов, серди которых основополагающее</w:t>
      </w:r>
      <w:hyperlink r:id="rId28">
        <w:r w:rsidRPr="00DC3603">
          <w:rPr>
            <w:rStyle w:val="a5"/>
            <w:sz w:val="22"/>
            <w:szCs w:val="24"/>
          </w:rPr>
          <w:t xml:space="preserve"> Положение о защите информации в платежной системе» от 13.06.2012 №584</w:t>
        </w:r>
      </w:hyperlink>
      <w:r w:rsidRPr="00DC3603">
        <w:rPr>
          <w:sz w:val="22"/>
          <w:szCs w:val="24"/>
        </w:rPr>
        <w:t xml:space="preserve">. Но в большей мере отвечает выпущенное ответственным департаментом Банком России </w:t>
      </w:r>
      <w:hyperlink r:id="rId29">
        <w:r w:rsidRPr="00DC3603">
          <w:rPr>
            <w:rStyle w:val="a5"/>
            <w:sz w:val="22"/>
            <w:szCs w:val="24"/>
          </w:rPr>
          <w:t>Положение о требованиях к обеспечению защиты информации при осуществлении переводов денежных средств…» от 09.06.2012 N 382-П)</w:t>
        </w:r>
      </w:hyperlink>
      <w:r w:rsidRPr="00DC3603">
        <w:rPr>
          <w:sz w:val="22"/>
          <w:szCs w:val="24"/>
        </w:rPr>
        <w:t xml:space="preserve"> </w:t>
      </w:r>
    </w:p>
    <w:p w:rsidR="00DC3603" w:rsidRPr="00DC3603" w:rsidRDefault="00DC3603" w:rsidP="00DC3603">
      <w:pPr>
        <w:rPr>
          <w:sz w:val="22"/>
          <w:szCs w:val="24"/>
        </w:rPr>
      </w:pPr>
      <w:r w:rsidRPr="00DC3603">
        <w:rPr>
          <w:sz w:val="22"/>
          <w:szCs w:val="24"/>
        </w:rPr>
        <w:t>С обновлением П-382 тенденции обеспечения защиты теперь смещены в сторону:</w:t>
      </w:r>
    </w:p>
    <w:p w:rsidR="00CF2922" w:rsidRPr="00CF2922" w:rsidRDefault="00CF2922" w:rsidP="00CF2922">
      <w:pPr>
        <w:numPr>
          <w:ilvl w:val="0"/>
          <w:numId w:val="4"/>
        </w:numPr>
        <w:tabs>
          <w:tab w:val="clear" w:pos="720"/>
          <w:tab w:val="num" w:pos="0"/>
        </w:tabs>
        <w:ind w:left="0" w:firstLine="851"/>
        <w:rPr>
          <w:sz w:val="22"/>
          <w:szCs w:val="24"/>
        </w:rPr>
      </w:pPr>
      <w:r w:rsidRPr="00CF2922">
        <w:rPr>
          <w:sz w:val="22"/>
          <w:szCs w:val="24"/>
        </w:rPr>
        <w:t>применением банкоматов и платежных терминалов;</w:t>
      </w:r>
    </w:p>
    <w:p w:rsidR="00CF2922" w:rsidRPr="00CF2922" w:rsidRDefault="00CF2922" w:rsidP="00CF2922">
      <w:pPr>
        <w:numPr>
          <w:ilvl w:val="0"/>
          <w:numId w:val="4"/>
        </w:numPr>
        <w:tabs>
          <w:tab w:val="clear" w:pos="720"/>
          <w:tab w:val="num" w:pos="0"/>
        </w:tabs>
        <w:ind w:left="0" w:firstLine="851"/>
        <w:rPr>
          <w:sz w:val="22"/>
          <w:szCs w:val="24"/>
        </w:rPr>
      </w:pPr>
      <w:r w:rsidRPr="00CF2922">
        <w:rPr>
          <w:sz w:val="22"/>
          <w:szCs w:val="24"/>
        </w:rPr>
        <w:t>применения пластиковых платежных карт;</w:t>
      </w:r>
    </w:p>
    <w:p w:rsidR="00CF2922" w:rsidRPr="00CF2922" w:rsidRDefault="00CF2922" w:rsidP="00CF2922">
      <w:pPr>
        <w:numPr>
          <w:ilvl w:val="0"/>
          <w:numId w:val="4"/>
        </w:numPr>
        <w:tabs>
          <w:tab w:val="clear" w:pos="720"/>
          <w:tab w:val="num" w:pos="0"/>
        </w:tabs>
        <w:ind w:left="0" w:firstLine="851"/>
        <w:rPr>
          <w:sz w:val="22"/>
          <w:szCs w:val="24"/>
        </w:rPr>
      </w:pPr>
      <w:r w:rsidRPr="00CF2922">
        <w:rPr>
          <w:sz w:val="22"/>
          <w:szCs w:val="24"/>
        </w:rPr>
        <w:t>использования сети Интернет (систем дистанционного банковского обслуживания (ДБО) и мобильного банкинга);</w:t>
      </w:r>
    </w:p>
    <w:p w:rsidR="00CF2922" w:rsidRPr="00CF2922" w:rsidRDefault="00CF2922" w:rsidP="00CF2922">
      <w:pPr>
        <w:numPr>
          <w:ilvl w:val="0"/>
          <w:numId w:val="4"/>
        </w:numPr>
        <w:tabs>
          <w:tab w:val="clear" w:pos="720"/>
          <w:tab w:val="num" w:pos="0"/>
        </w:tabs>
        <w:ind w:left="0" w:firstLine="851"/>
        <w:rPr>
          <w:sz w:val="22"/>
          <w:szCs w:val="24"/>
        </w:rPr>
      </w:pPr>
      <w:r w:rsidRPr="00CF2922">
        <w:rPr>
          <w:sz w:val="22"/>
          <w:szCs w:val="24"/>
        </w:rPr>
        <w:t>требований к порядку разработки и распространения специализированного ПО, предназначенного для использования клиентом при переводе денежных средств;</w:t>
      </w:r>
    </w:p>
    <w:p w:rsidR="00CF2922" w:rsidRPr="00CF2922" w:rsidRDefault="00CF2922" w:rsidP="00CF2922">
      <w:pPr>
        <w:numPr>
          <w:ilvl w:val="0"/>
          <w:numId w:val="4"/>
        </w:numPr>
        <w:tabs>
          <w:tab w:val="clear" w:pos="720"/>
          <w:tab w:val="num" w:pos="0"/>
        </w:tabs>
        <w:ind w:left="0" w:firstLine="851"/>
        <w:rPr>
          <w:sz w:val="22"/>
          <w:szCs w:val="24"/>
        </w:rPr>
      </w:pPr>
      <w:r w:rsidRPr="00CF2922">
        <w:rPr>
          <w:sz w:val="22"/>
          <w:szCs w:val="24"/>
        </w:rPr>
        <w:t>что очень порадовало, расширение требований по повышению осведомленности клиентов о возможных рисках получения несанкционированного доступа к защищаемой информации и рекомендуемых мерах по их снижению;</w:t>
      </w:r>
    </w:p>
    <w:p w:rsidR="00CF2922" w:rsidRPr="00CF2922" w:rsidRDefault="00CF2922" w:rsidP="00CF2922">
      <w:pPr>
        <w:numPr>
          <w:ilvl w:val="0"/>
          <w:numId w:val="4"/>
        </w:numPr>
        <w:tabs>
          <w:tab w:val="clear" w:pos="720"/>
          <w:tab w:val="num" w:pos="0"/>
        </w:tabs>
        <w:ind w:left="0" w:firstLine="851"/>
        <w:rPr>
          <w:sz w:val="22"/>
          <w:szCs w:val="24"/>
        </w:rPr>
      </w:pPr>
      <w:r w:rsidRPr="00CF2922">
        <w:rPr>
          <w:sz w:val="22"/>
          <w:szCs w:val="24"/>
        </w:rPr>
        <w:t>требований о необходимости проведения классификации банкоматов и платежных терминалов, результаты которой должны учитываться при выборе мер защиты;</w:t>
      </w:r>
    </w:p>
    <w:p w:rsidR="00CF2922" w:rsidRPr="00CF2922" w:rsidRDefault="00CF2922" w:rsidP="00CF2922">
      <w:pPr>
        <w:numPr>
          <w:ilvl w:val="0"/>
          <w:numId w:val="4"/>
        </w:numPr>
        <w:tabs>
          <w:tab w:val="clear" w:pos="720"/>
          <w:tab w:val="num" w:pos="0"/>
        </w:tabs>
        <w:ind w:left="0" w:firstLine="851"/>
        <w:rPr>
          <w:sz w:val="22"/>
          <w:szCs w:val="24"/>
        </w:rPr>
      </w:pPr>
      <w:r w:rsidRPr="00CF2922">
        <w:rPr>
          <w:sz w:val="22"/>
          <w:szCs w:val="24"/>
        </w:rPr>
        <w:t>процедур приостановления проведения платежа оператором по переводу денежных средств в случае обнаружения признаков мошеннических действий;</w:t>
      </w:r>
    </w:p>
    <w:p w:rsidR="00CF2922" w:rsidRPr="00CF2922" w:rsidRDefault="00CF2922" w:rsidP="00CF2922">
      <w:pPr>
        <w:numPr>
          <w:ilvl w:val="0"/>
          <w:numId w:val="4"/>
        </w:numPr>
        <w:tabs>
          <w:tab w:val="clear" w:pos="720"/>
          <w:tab w:val="num" w:pos="0"/>
        </w:tabs>
        <w:ind w:left="0" w:firstLine="851"/>
        <w:rPr>
          <w:sz w:val="22"/>
          <w:szCs w:val="24"/>
        </w:rPr>
      </w:pPr>
      <w:r w:rsidRPr="00CF2922">
        <w:rPr>
          <w:sz w:val="22"/>
          <w:szCs w:val="24"/>
        </w:rPr>
        <w:t>предусмотрены процедуры защиты от современных угроз безопасности, таких как: скимминг (путем использования специализированных средств, препятствующих несанкционированному считыванию треков платежных карт; защита сервисов расположенных в сети Интернет от внешних атак (DoS-атак); защита от фишинга (от фальсифицированных ложных ресурсов сети Интернет).</w:t>
      </w:r>
    </w:p>
    <w:p w:rsidR="00CF2922" w:rsidRPr="00CF2922" w:rsidRDefault="00CF2922" w:rsidP="00CF2922">
      <w:pPr>
        <w:numPr>
          <w:ilvl w:val="0"/>
          <w:numId w:val="4"/>
        </w:numPr>
        <w:tabs>
          <w:tab w:val="clear" w:pos="720"/>
          <w:tab w:val="num" w:pos="0"/>
        </w:tabs>
        <w:ind w:left="0" w:firstLine="851"/>
        <w:rPr>
          <w:sz w:val="22"/>
          <w:szCs w:val="24"/>
        </w:rPr>
      </w:pPr>
      <w:r w:rsidRPr="00CF2922">
        <w:rPr>
          <w:sz w:val="22"/>
          <w:szCs w:val="24"/>
        </w:rPr>
        <w:t>требование по применению платежных карт, оснащенных микропроцессором, с 2015 года и запрет выпуска карт, не оснащенных микропроцессором, после 1-го января 2015 года;</w:t>
      </w:r>
    </w:p>
    <w:p w:rsidR="00CF2922" w:rsidRPr="00CF2922" w:rsidRDefault="00CF2922" w:rsidP="00CF2922">
      <w:pPr>
        <w:numPr>
          <w:ilvl w:val="0"/>
          <w:numId w:val="4"/>
        </w:numPr>
        <w:tabs>
          <w:tab w:val="clear" w:pos="720"/>
          <w:tab w:val="num" w:pos="0"/>
        </w:tabs>
        <w:ind w:left="0" w:firstLine="851"/>
        <w:rPr>
          <w:sz w:val="22"/>
          <w:szCs w:val="24"/>
        </w:rPr>
      </w:pPr>
      <w:r w:rsidRPr="00CF2922">
        <w:rPr>
          <w:sz w:val="22"/>
          <w:szCs w:val="24"/>
        </w:rPr>
        <w:t>29 новых показателей оценки.</w:t>
      </w:r>
    </w:p>
    <w:p w:rsidR="00DC3603" w:rsidRPr="00DC3603" w:rsidRDefault="00DC3603" w:rsidP="00BB0D33">
      <w:pPr>
        <w:rPr>
          <w:sz w:val="22"/>
          <w:szCs w:val="24"/>
        </w:rPr>
      </w:pPr>
    </w:p>
    <w:p w:rsidR="00BB0D33" w:rsidRDefault="00BB0D33" w:rsidP="00BB0D33">
      <w:pPr>
        <w:rPr>
          <w:sz w:val="22"/>
          <w:lang w:val="en-US"/>
        </w:rPr>
      </w:pPr>
      <w:r w:rsidRPr="00762786">
        <w:rPr>
          <w:sz w:val="22"/>
        </w:rPr>
        <w:t>5. Информационная безопасность платежных систем.</w:t>
      </w:r>
    </w:p>
    <w:p w:rsidR="00CF2922" w:rsidRPr="00CF2922" w:rsidRDefault="00CF2922" w:rsidP="00BB0D33">
      <w:pPr>
        <w:rPr>
          <w:sz w:val="22"/>
        </w:rPr>
      </w:pPr>
      <w:r w:rsidRPr="00CF2922">
        <w:rPr>
          <w:sz w:val="22"/>
        </w:rPr>
        <w:lastRenderedPageBreak/>
        <w:t xml:space="preserve">В мировом сообществе признанным стандартом безопасности считается </w:t>
      </w:r>
      <w:hyperlink r:id="rId30">
        <w:r w:rsidRPr="00CF2922">
          <w:rPr>
            <w:rStyle w:val="a5"/>
            <w:sz w:val="22"/>
          </w:rPr>
          <w:t>Payment Card Industry Data Security Standard (PCI DSS)</w:t>
        </w:r>
      </w:hyperlink>
      <w:r w:rsidRPr="00CF2922">
        <w:rPr>
          <w:sz w:val="22"/>
        </w:rPr>
        <w:t>, который был разработан советом PCI SSC. В него вошли такие карточные брэнды, как Visa, MasterCard, American Express, JCB и Discovery</w:t>
      </w:r>
    </w:p>
    <w:p w:rsidR="00BB0D33" w:rsidRDefault="00CF2922" w:rsidP="00BB0D33">
      <w:pPr>
        <w:rPr>
          <w:sz w:val="22"/>
        </w:rPr>
      </w:pPr>
      <w:r w:rsidRPr="00CF2922">
        <w:rPr>
          <w:sz w:val="22"/>
        </w:rPr>
        <w:t>Стандарт PCI DSS описывает требования к защите данных о держателях карт, сгруппированные в двенадцать разделов. Основной акцент в стандарте PCI DSS делается на обеспечении безопасности сетевой инфраструктуры и защите хранимых данных о держателях платежных карт, как наиболее уязвимых с точки зрения угроз конфиденциальности местах</w:t>
      </w:r>
      <w:r>
        <w:rPr>
          <w:sz w:val="22"/>
        </w:rPr>
        <w:t xml:space="preserve">. </w:t>
      </w:r>
      <w:r w:rsidRPr="00CF2922">
        <w:rPr>
          <w:sz w:val="22"/>
        </w:rPr>
        <w:t>Также стандарт регламентирует правила безопасной разработки</w:t>
      </w:r>
      <w:r>
        <w:rPr>
          <w:sz w:val="22"/>
        </w:rPr>
        <w:t xml:space="preserve">, </w:t>
      </w:r>
      <w:r w:rsidRPr="00CF2922">
        <w:rPr>
          <w:sz w:val="22"/>
        </w:rPr>
        <w:t>поддержки и эксплуатации платежных систем</w:t>
      </w:r>
      <w:r>
        <w:rPr>
          <w:sz w:val="22"/>
        </w:rPr>
        <w:t>.</w:t>
      </w:r>
    </w:p>
    <w:p w:rsidR="00CF2922" w:rsidRDefault="00CF2922" w:rsidP="00BB0D33">
      <w:pPr>
        <w:rPr>
          <w:sz w:val="22"/>
        </w:rPr>
      </w:pPr>
      <w:r w:rsidRPr="00CF2922">
        <w:rPr>
          <w:sz w:val="22"/>
        </w:rPr>
        <w:t>Международные платежные системы обязывают организации, на которые распространяются требования стандарта, проходить регулярную проверку соответствия этим требованиям, что рано или поздно может затронуть и НСПК. Однако сертификация российских банков по зарубежному PCI DSS стандарту шла довольно медленно, а отечественного аналога на сегодняшний день нет</w:t>
      </w:r>
      <w:r w:rsidR="000E391D">
        <w:rPr>
          <w:sz w:val="22"/>
        </w:rPr>
        <w:t xml:space="preserve"> (тем не меннее приводится таблица сравнения с СТО БР и ФЗ о НПС)</w:t>
      </w:r>
      <w:r>
        <w:rPr>
          <w:sz w:val="22"/>
        </w:rPr>
        <w:t>.</w:t>
      </w:r>
    </w:p>
    <w:p w:rsidR="00CF2922" w:rsidRDefault="00CF2922" w:rsidP="00BB0D33">
      <w:pPr>
        <w:rPr>
          <w:sz w:val="22"/>
        </w:rPr>
      </w:pPr>
      <w:r w:rsidRPr="00CF2922">
        <w:rPr>
          <w:sz w:val="22"/>
        </w:rPr>
        <w:t>В отличие от всех зарубежных стандартов, российский 382-П призван стимулировать отечественных разработчиков и производителей средств защиты информации (СЗИ), так, например, обязывая субъекты НПС обеспечить применение некриптографических СЗИ от несанкционированного доступа, в том числе прошедших в установленном порядке процедуру оценки соответствия. При этом, применение решений иностранного производства явно разрешено.</w:t>
      </w:r>
    </w:p>
    <w:p w:rsidR="00CF2922" w:rsidRPr="00CF2922" w:rsidRDefault="00CF2922" w:rsidP="00BB0D33">
      <w:pPr>
        <w:rPr>
          <w:sz w:val="22"/>
        </w:rPr>
      </w:pPr>
      <w:r w:rsidRPr="00CF2922">
        <w:rPr>
          <w:sz w:val="22"/>
        </w:rPr>
        <w:t xml:space="preserve">Более того, Банк России усиливает свой контроль за соблюдением установленных правил. В своем документе </w:t>
      </w:r>
      <w:hyperlink r:id="rId31">
        <w:r w:rsidRPr="00CF2922">
          <w:rPr>
            <w:rStyle w:val="a5"/>
            <w:sz w:val="22"/>
          </w:rPr>
          <w:t>Указание № 2831-У от  09.06.2012  «Об отчетности по обеспечению защиты информации в платежных системах…»</w:t>
        </w:r>
      </w:hyperlink>
    </w:p>
    <w:p w:rsidR="00CF2922" w:rsidRDefault="000E391D" w:rsidP="00BB0D33">
      <w:pPr>
        <w:rPr>
          <w:sz w:val="22"/>
        </w:rPr>
      </w:pPr>
      <w:r w:rsidRPr="000E391D">
        <w:rPr>
          <w:sz w:val="22"/>
        </w:rPr>
        <w:t>PCI PA-DSS (Payment Card Industry Payment Application Data Security Standard) определяющий требования к приложениям, обрабатывающим данные о держателях карт и процессу их разработки. И, второй - стандарт Payment Card Industry PIN Transaction Security (PCI PTS), ранее PCI PED, касаются производителей, которые задают и реализуют технические параметры и систему управления для устройств, поддерживающих набор ПИН-кода и использующихся для проведения платежных операций по картам.</w:t>
      </w:r>
    </w:p>
    <w:p w:rsidR="000E391D" w:rsidRPr="00CF2922" w:rsidRDefault="000E391D" w:rsidP="00BB0D33">
      <w:pPr>
        <w:rPr>
          <w:sz w:val="22"/>
        </w:rPr>
      </w:pPr>
    </w:p>
    <w:p w:rsidR="00BB0D33" w:rsidRPr="00762786" w:rsidRDefault="00BB0D33" w:rsidP="00BB0D33">
      <w:pPr>
        <w:rPr>
          <w:sz w:val="22"/>
        </w:rPr>
      </w:pPr>
      <w:r w:rsidRPr="00762786">
        <w:rPr>
          <w:sz w:val="22"/>
        </w:rPr>
        <w:t>6. Определения PCI DSS.</w:t>
      </w:r>
    </w:p>
    <w:p w:rsidR="000E391D" w:rsidRPr="000E391D" w:rsidRDefault="000E391D" w:rsidP="000E391D">
      <w:pPr>
        <w:rPr>
          <w:sz w:val="22"/>
        </w:rPr>
      </w:pPr>
      <w:r w:rsidRPr="000E391D">
        <w:rPr>
          <w:sz w:val="22"/>
        </w:rPr>
        <w:t>ASV (Approved Scanning Vendor) – поставщик услуг сканирования, имеющий официальный статус от Совета стандартов безопасности (PCI SSC).</w:t>
      </w:r>
    </w:p>
    <w:p w:rsidR="000E391D" w:rsidRPr="000E391D" w:rsidRDefault="000E391D" w:rsidP="000E391D">
      <w:pPr>
        <w:rPr>
          <w:sz w:val="22"/>
        </w:rPr>
      </w:pPr>
      <w:r w:rsidRPr="000E391D">
        <w:rPr>
          <w:sz w:val="22"/>
        </w:rPr>
        <w:t>On-site аудит – аудит инфраструктуры Заказчика, проводимый аудитором непосредственно на реально функционирующих компонентах.</w:t>
      </w:r>
    </w:p>
    <w:p w:rsidR="000E391D" w:rsidRPr="000E391D" w:rsidRDefault="000E391D" w:rsidP="000E391D">
      <w:pPr>
        <w:rPr>
          <w:sz w:val="22"/>
        </w:rPr>
      </w:pPr>
      <w:r w:rsidRPr="000E391D">
        <w:rPr>
          <w:sz w:val="22"/>
        </w:rPr>
        <w:t>QSA (Qualified Security Assessor) — компания, сотрудники которой индивидуально прошли тренинги и экзамены, проводимые Советом стандартов безопасности (PCI SSC).</w:t>
      </w:r>
    </w:p>
    <w:p w:rsidR="000E391D" w:rsidRPr="000E391D" w:rsidRDefault="000E391D" w:rsidP="000E391D">
      <w:pPr>
        <w:rPr>
          <w:sz w:val="22"/>
        </w:rPr>
      </w:pPr>
      <w:r w:rsidRPr="000E391D">
        <w:rPr>
          <w:sz w:val="22"/>
        </w:rPr>
        <w:lastRenderedPageBreak/>
        <w:t>Аудитор (консультант) — лицо, занимающееся аудитом по стандарту PCI DSS (проверкой соответствия требованиям стандарта) и консультационной деятельностью, связанной с оценкой соответствия требованиям стандарта PCI DSS.</w:t>
      </w:r>
    </w:p>
    <w:p w:rsidR="000E391D" w:rsidRPr="000E391D" w:rsidRDefault="000E391D" w:rsidP="000E391D">
      <w:pPr>
        <w:rPr>
          <w:sz w:val="22"/>
        </w:rPr>
      </w:pPr>
      <w:r w:rsidRPr="000E391D">
        <w:rPr>
          <w:sz w:val="22"/>
        </w:rPr>
        <w:t>Заказчик – юридическое лицо, заинтересованное в выполнении исполнителем услуги проверки на соответствие требованиям стандарта PCI DSS.</w:t>
      </w:r>
    </w:p>
    <w:p w:rsidR="00BB0D33" w:rsidRDefault="000E391D" w:rsidP="000E391D">
      <w:pPr>
        <w:rPr>
          <w:sz w:val="22"/>
        </w:rPr>
      </w:pPr>
      <w:r w:rsidRPr="000E391D">
        <w:rPr>
          <w:sz w:val="22"/>
        </w:rPr>
        <w:t>Эквайер – член ассоциации эмитентов банковских карт, который устанавливает и поддерживает взаимодействие с предприятиями торгово-сервисной сети, принимающей платежные карты. [2]</w:t>
      </w:r>
    </w:p>
    <w:p w:rsidR="000E391D" w:rsidRPr="00762786" w:rsidRDefault="000E391D" w:rsidP="00BB0D33">
      <w:pPr>
        <w:rPr>
          <w:sz w:val="22"/>
        </w:rPr>
      </w:pPr>
    </w:p>
    <w:p w:rsidR="00BB0D33" w:rsidRPr="00762786" w:rsidRDefault="00BB0D33" w:rsidP="00BB0D33">
      <w:pPr>
        <w:rPr>
          <w:sz w:val="22"/>
        </w:rPr>
      </w:pPr>
      <w:r w:rsidRPr="00762786">
        <w:rPr>
          <w:sz w:val="22"/>
        </w:rPr>
        <w:t>7. Стандарт PCI DSS.</w:t>
      </w:r>
    </w:p>
    <w:p w:rsidR="00BB0D33" w:rsidRDefault="00D424A0" w:rsidP="00BB0D33">
      <w:pPr>
        <w:rPr>
          <w:sz w:val="22"/>
        </w:rPr>
      </w:pPr>
      <w:r w:rsidRPr="00D424A0">
        <w:rPr>
          <w:sz w:val="22"/>
        </w:rPr>
        <w:t>Стандарт безопасности данных индустрии платежных карт представляет собой совокупность 12 детализированных требований по обеспечению безопасности данных о держателях платежных карт, которые передаются, хранятся и обрабатываются в информационной инфраструктуре торгово-сервисных предприятий, сервис-провайдеров и других организаций</w:t>
      </w:r>
    </w:p>
    <w:p w:rsidR="00D424A0" w:rsidRPr="00D424A0" w:rsidRDefault="00D424A0" w:rsidP="00D424A0">
      <w:pPr>
        <w:rPr>
          <w:sz w:val="22"/>
          <w:lang w:val="en-US"/>
        </w:rPr>
      </w:pPr>
      <w:r w:rsidRPr="00D424A0">
        <w:rPr>
          <w:sz w:val="22"/>
        </w:rPr>
        <w:t>1) Стандарт безопасности данных индустрии платежных карт. Требования и процедуры аудита безопасности. Версия</w:t>
      </w:r>
      <w:r w:rsidRPr="00D424A0">
        <w:rPr>
          <w:sz w:val="22"/>
          <w:lang w:val="en-US"/>
        </w:rPr>
        <w:t xml:space="preserve"> 2.0 (Payment Card Industry Data Security Standard. Requirements and Security Assessment Procedures v2.0).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В документе детально описаны 12 требований стандарта, область их применимости, основные сведения по подготовке к аудиту соответствия требованиям стандарта и проведению аудита, а также сведения по написанию отчетных материалов. Документ разработан преимущественно для использования аудиторами, проводящими onsite-аудит на соответствие требованиям стандарта.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2) Глоссарий. Версия 2.0 (Glossary v2.0).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Перечень терминов и сокращений, используемых в нормативной документации PCI DSS. Предназначен для понимания терминов, используемых в других поддерживающих документах и поэтому рекомендуется Заказчику для ознакомления.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3) Ориентирование в PCI DSS. Версия 2.0 (Navigating the PCI DSS. Version 2.0).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Документ, в котором описываются 12 требований стандарта с пояснением их значений в целях улучшения понимания требований стандарта предприятиями торгово-сервисной сети, сервис-провайдерами и другими финансовыми учреждениями.</w:t>
      </w:r>
    </w:p>
    <w:p w:rsidR="00D424A0" w:rsidRPr="00D424A0" w:rsidRDefault="00D424A0" w:rsidP="00D424A0">
      <w:pPr>
        <w:rPr>
          <w:sz w:val="22"/>
          <w:lang w:val="en-US"/>
        </w:rPr>
      </w:pPr>
      <w:r w:rsidRPr="00D424A0">
        <w:rPr>
          <w:sz w:val="22"/>
        </w:rPr>
        <w:t>4) Приоритезированный подход к достижению соответствия PCI DSS. Версия</w:t>
      </w:r>
      <w:r w:rsidRPr="00D424A0">
        <w:rPr>
          <w:sz w:val="22"/>
          <w:lang w:val="en-US"/>
        </w:rPr>
        <w:t xml:space="preserve"> 1.2 (Prioritized Approach for PCI DSS v1.2).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Правила работ для уменьшения рисков на ранних стадиях мероприятий по достижению соответствия стандарту. Приоритезированный подход состоит из 6 этапов, которые в порядке приоритета помогут распределить усилия по достижению соответствия, снизят риск компрометации данных о платежных картах в процессе выполнения. Подход не заменяет требования стандарта PCI DSS v2.0.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lastRenderedPageBreak/>
        <w:t>5) Требования, предъявляемые к квалифицированным экспертам безопасности (PCI DSS Validation Requirements for Qualified Security Assessors).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Приложение, в котором содержатся требования, предъявляемые Советом по стандартам безопасности платежных карт экспертам безопасности, получающим или уже имеющим статус квалифицированного эксперта безопасности (QSA).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6) Требования, предъявляемые к поставщикам услуг сканирования (PCI DSS Validation Requirements for Approved Scanning Vendors).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Приложение, в котором содержатся требования, предъявляемые Советом по стандартам безопасности платежных карт экспертам безопасности, получающим или уже имеющим поставщика услуг сканирования (ASV).</w:t>
      </w:r>
    </w:p>
    <w:p w:rsidR="00D424A0" w:rsidRPr="00D424A0" w:rsidRDefault="00D424A0" w:rsidP="00D424A0">
      <w:pPr>
        <w:rPr>
          <w:sz w:val="22"/>
          <w:lang w:val="en-US"/>
        </w:rPr>
      </w:pPr>
      <w:r w:rsidRPr="00D424A0">
        <w:rPr>
          <w:sz w:val="22"/>
          <w:lang w:val="en-US"/>
        </w:rPr>
        <w:t xml:space="preserve">7) </w:t>
      </w:r>
      <w:r w:rsidRPr="00D424A0">
        <w:rPr>
          <w:sz w:val="22"/>
        </w:rPr>
        <w:t>Листы</w:t>
      </w:r>
      <w:r w:rsidRPr="00D424A0">
        <w:rPr>
          <w:sz w:val="22"/>
          <w:lang w:val="en-US"/>
        </w:rPr>
        <w:t xml:space="preserve"> </w:t>
      </w:r>
      <w:r w:rsidRPr="00D424A0">
        <w:rPr>
          <w:sz w:val="22"/>
        </w:rPr>
        <w:t>самооценки</w:t>
      </w:r>
      <w:r w:rsidRPr="00D424A0">
        <w:rPr>
          <w:sz w:val="22"/>
          <w:lang w:val="en-US"/>
        </w:rPr>
        <w:t xml:space="preserve">. </w:t>
      </w:r>
      <w:r w:rsidRPr="00D424A0">
        <w:rPr>
          <w:sz w:val="22"/>
        </w:rPr>
        <w:t>Версия</w:t>
      </w:r>
      <w:r w:rsidRPr="00D424A0">
        <w:rPr>
          <w:sz w:val="22"/>
          <w:lang w:val="en-US"/>
        </w:rPr>
        <w:t xml:space="preserve"> 2.0 (PCI DSS Self-Assessment Questionnaire v2.0).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Листы самооценки предназначены для организации проведения самооценки торгово-сервисными предприятиями и сервис-провайдерами их соответствия стандарту и представляют собой средства проверки соответствия финансовой организации стандарту PCI DSS согласно документу «Стандарт безопасности данных индустрии платежных карт. Требования</w:t>
      </w:r>
      <w:r w:rsidRPr="00D424A0">
        <w:rPr>
          <w:sz w:val="22"/>
          <w:lang w:val="en-US"/>
        </w:rPr>
        <w:t xml:space="preserve"> </w:t>
      </w:r>
      <w:r w:rsidRPr="00D424A0">
        <w:rPr>
          <w:sz w:val="22"/>
        </w:rPr>
        <w:t>и</w:t>
      </w:r>
      <w:r w:rsidRPr="00D424A0">
        <w:rPr>
          <w:sz w:val="22"/>
          <w:lang w:val="en-US"/>
        </w:rPr>
        <w:t xml:space="preserve"> </w:t>
      </w:r>
      <w:r w:rsidRPr="00D424A0">
        <w:rPr>
          <w:sz w:val="22"/>
        </w:rPr>
        <w:t>процедуры</w:t>
      </w:r>
      <w:r w:rsidRPr="00D424A0">
        <w:rPr>
          <w:sz w:val="22"/>
          <w:lang w:val="en-US"/>
        </w:rPr>
        <w:t xml:space="preserve"> </w:t>
      </w:r>
      <w:r w:rsidRPr="00D424A0">
        <w:rPr>
          <w:sz w:val="22"/>
        </w:rPr>
        <w:t>аудита</w:t>
      </w:r>
      <w:r w:rsidRPr="00D424A0">
        <w:rPr>
          <w:sz w:val="22"/>
          <w:lang w:val="en-US"/>
        </w:rPr>
        <w:t xml:space="preserve"> </w:t>
      </w:r>
      <w:r w:rsidRPr="00D424A0">
        <w:rPr>
          <w:sz w:val="22"/>
        </w:rPr>
        <w:t>безопасности</w:t>
      </w:r>
      <w:r w:rsidRPr="00D424A0">
        <w:rPr>
          <w:sz w:val="22"/>
          <w:lang w:val="en-US"/>
        </w:rPr>
        <w:t xml:space="preserve">. </w:t>
      </w:r>
      <w:r w:rsidRPr="00D424A0">
        <w:rPr>
          <w:sz w:val="22"/>
        </w:rPr>
        <w:t>Версия</w:t>
      </w:r>
      <w:r w:rsidRPr="00D424A0">
        <w:rPr>
          <w:sz w:val="22"/>
          <w:lang w:val="en-US"/>
        </w:rPr>
        <w:t xml:space="preserve"> 2.0» («Payment Card Industry Data Security Standard. Requirements and Security Assessment Procedures v2.0»). </w:t>
      </w:r>
      <w:r w:rsidRPr="00D424A0">
        <w:rPr>
          <w:sz w:val="22"/>
        </w:rPr>
        <w:t xml:space="preserve">Существуют несколько вариантов листа самоооценки, которые используются в том или ином случае. </w:t>
      </w:r>
    </w:p>
    <w:p w:rsidR="00D424A0" w:rsidRPr="00D424A0" w:rsidRDefault="00D424A0" w:rsidP="00D424A0">
      <w:pPr>
        <w:rPr>
          <w:sz w:val="22"/>
          <w:lang w:val="en-US"/>
        </w:rPr>
      </w:pPr>
      <w:r w:rsidRPr="00D424A0">
        <w:rPr>
          <w:sz w:val="22"/>
        </w:rPr>
        <w:t>8) Аттестация соответствия PCI DSS – торговые организации. Версия</w:t>
      </w:r>
      <w:r w:rsidRPr="00D424A0">
        <w:rPr>
          <w:sz w:val="22"/>
          <w:lang w:val="en-US"/>
        </w:rPr>
        <w:t xml:space="preserve"> 2.0 (PCI DSS Attestation of Compliance – Merchants v2.0).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Шаблон документа, который заполняется QSA или торговой организацией (в случае, если торговая организация осуществляет внутренний аудит), и в результате является официальным документом о соответствии данной организации стандарту PCI DSS.</w:t>
      </w:r>
    </w:p>
    <w:p w:rsidR="00D424A0" w:rsidRPr="00D424A0" w:rsidRDefault="00D424A0" w:rsidP="00D424A0">
      <w:pPr>
        <w:rPr>
          <w:sz w:val="22"/>
          <w:lang w:val="en-US"/>
        </w:rPr>
      </w:pPr>
      <w:r w:rsidRPr="00D424A0">
        <w:rPr>
          <w:sz w:val="22"/>
        </w:rPr>
        <w:t>9) Аттестация соответствия PCI DSS – сервис-провайдеры. Версия</w:t>
      </w:r>
      <w:r w:rsidRPr="00D424A0">
        <w:rPr>
          <w:sz w:val="22"/>
          <w:lang w:val="en-US"/>
        </w:rPr>
        <w:t xml:space="preserve"> 2.0 (PCI DSS Attestation of Compliance – Service Providers v2.0).</w:t>
      </w:r>
    </w:p>
    <w:p w:rsidR="00D424A0" w:rsidRDefault="00D424A0" w:rsidP="00D424A0">
      <w:pPr>
        <w:rPr>
          <w:sz w:val="22"/>
        </w:rPr>
      </w:pPr>
      <w:r w:rsidRPr="00D424A0">
        <w:rPr>
          <w:sz w:val="22"/>
        </w:rPr>
        <w:t>Шаблон документа, который должны заполнить QSA и сервис-провайдер в качестве официального документа о соответствии данного сервис-провайдера стандарту PCI DSS.</w:t>
      </w:r>
    </w:p>
    <w:p w:rsidR="00D424A0" w:rsidRPr="00762786" w:rsidRDefault="00D424A0" w:rsidP="00BB0D33">
      <w:pPr>
        <w:rPr>
          <w:sz w:val="22"/>
        </w:rPr>
      </w:pPr>
    </w:p>
    <w:p w:rsidR="00BB0D33" w:rsidRPr="00762786" w:rsidRDefault="006E4622" w:rsidP="00BB0D33">
      <w:pPr>
        <w:rPr>
          <w:sz w:val="22"/>
        </w:rPr>
      </w:pPr>
      <w:r>
        <w:rPr>
          <w:sz w:val="22"/>
        </w:rPr>
        <w:t xml:space="preserve">8. </w:t>
      </w:r>
      <w:r w:rsidR="00BB0D33" w:rsidRPr="00762786">
        <w:rPr>
          <w:sz w:val="22"/>
        </w:rPr>
        <w:t>Дополнительные документы PCI DSS.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1) Дополнительные документы – ASV (Additional Documents — ASV).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Набор документации для поставщиков услуг сканирования (ASV): руководство по программе ASV, список требований ASV, проверка соответствия статусу ASV.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2) Дополнительные документы – QSA (Additional Documents — QSA).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Набор документации для квалифицированных экспертов безопасности (QSA): соглашение QSA, список требований QSA.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3) Дополнительные документы – PFI (Additional Documents — PFI).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 xml:space="preserve">Набор документации для экспертов-криминалистов в индустрии платежных карт (PFI): руководство по программе PFI, список требований PFI, проверка соответствия статусу PFI. Статус </w:t>
      </w:r>
      <w:r w:rsidRPr="00D424A0">
        <w:rPr>
          <w:sz w:val="22"/>
        </w:rPr>
        <w:lastRenderedPageBreak/>
        <w:t>эксперта-криминалиста в платежной индустрии введен Советом PCI SSC со второй версией стандарта PCI DSS.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4) Требование 11.3 Тестирование на проникновение (Requirement 11.3 Penetration Testing).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Подробное описание требования 11.3 стандарта PCI DSS к проведению тестирований на проникновение.</w:t>
      </w:r>
    </w:p>
    <w:p w:rsidR="00D424A0" w:rsidRPr="00D424A0" w:rsidRDefault="00D424A0" w:rsidP="00D424A0">
      <w:pPr>
        <w:rPr>
          <w:sz w:val="22"/>
          <w:lang w:val="en-US"/>
        </w:rPr>
      </w:pPr>
      <w:r w:rsidRPr="00D424A0">
        <w:rPr>
          <w:sz w:val="22"/>
          <w:lang w:val="en-US"/>
        </w:rPr>
        <w:t xml:space="preserve">5) </w:t>
      </w:r>
      <w:r w:rsidRPr="00D424A0">
        <w:rPr>
          <w:sz w:val="22"/>
        </w:rPr>
        <w:t>Требование</w:t>
      </w:r>
      <w:r w:rsidRPr="00D424A0">
        <w:rPr>
          <w:sz w:val="22"/>
          <w:lang w:val="en-US"/>
        </w:rPr>
        <w:t xml:space="preserve"> 6.6 </w:t>
      </w:r>
      <w:r w:rsidRPr="00D424A0">
        <w:rPr>
          <w:sz w:val="22"/>
        </w:rPr>
        <w:t>Защита</w:t>
      </w:r>
      <w:r w:rsidRPr="00D424A0">
        <w:rPr>
          <w:sz w:val="22"/>
          <w:lang w:val="en-US"/>
        </w:rPr>
        <w:t xml:space="preserve"> </w:t>
      </w:r>
      <w:r w:rsidRPr="00D424A0">
        <w:rPr>
          <w:sz w:val="22"/>
        </w:rPr>
        <w:t>веб</w:t>
      </w:r>
      <w:r w:rsidRPr="00D424A0">
        <w:rPr>
          <w:sz w:val="22"/>
          <w:lang w:val="en-US"/>
        </w:rPr>
        <w:t>-</w:t>
      </w:r>
      <w:r w:rsidRPr="00D424A0">
        <w:rPr>
          <w:sz w:val="22"/>
        </w:rPr>
        <w:t>приложений</w:t>
      </w:r>
      <w:r w:rsidRPr="00D424A0">
        <w:rPr>
          <w:sz w:val="22"/>
          <w:lang w:val="en-US"/>
        </w:rPr>
        <w:t xml:space="preserve"> (Requirement 6.6 Application Reviews and Web Application Firewalls Clarified).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Уточнение к требованию 6.6 стандарта PCI DSS к обеспечению защиты веб-приложений.</w:t>
      </w:r>
    </w:p>
    <w:p w:rsidR="00D424A0" w:rsidRPr="00D424A0" w:rsidRDefault="00D424A0" w:rsidP="00D424A0">
      <w:pPr>
        <w:rPr>
          <w:sz w:val="22"/>
        </w:rPr>
      </w:pPr>
      <w:r w:rsidRPr="00D424A0">
        <w:rPr>
          <w:sz w:val="22"/>
        </w:rPr>
        <w:t>6) Руководство по беспроводным сетям. Версия 1.2 (Wireless Guidelines v1.2)</w:t>
      </w:r>
    </w:p>
    <w:p w:rsidR="00BB0D33" w:rsidRDefault="00D424A0" w:rsidP="00D424A0">
      <w:pPr>
        <w:rPr>
          <w:sz w:val="22"/>
        </w:rPr>
      </w:pPr>
      <w:r w:rsidRPr="00D424A0">
        <w:rPr>
          <w:sz w:val="22"/>
        </w:rPr>
        <w:t>Документ содержит предложения и рекомендации для развертывания и тестирования беспроводных сетей в контексте требований стандарта PCI DSS.</w:t>
      </w:r>
    </w:p>
    <w:p w:rsidR="00D424A0" w:rsidRPr="00762786" w:rsidRDefault="00D424A0" w:rsidP="00BB0D33">
      <w:pPr>
        <w:rPr>
          <w:sz w:val="22"/>
        </w:rPr>
      </w:pPr>
    </w:p>
    <w:p w:rsidR="00BB0D33" w:rsidRPr="00762786" w:rsidRDefault="006E4622" w:rsidP="00BB0D33">
      <w:pPr>
        <w:rPr>
          <w:sz w:val="22"/>
        </w:rPr>
      </w:pPr>
      <w:r>
        <w:rPr>
          <w:sz w:val="22"/>
        </w:rPr>
        <w:t xml:space="preserve">9. </w:t>
      </w:r>
      <w:r w:rsidR="00BB0D33" w:rsidRPr="00762786">
        <w:rPr>
          <w:sz w:val="22"/>
        </w:rPr>
        <w:t>Ключевые требования по организации защиты данных.</w:t>
      </w:r>
    </w:p>
    <w:p w:rsidR="00411B85" w:rsidRPr="00411B85" w:rsidRDefault="00411B85" w:rsidP="00411B85">
      <w:pPr>
        <w:rPr>
          <w:sz w:val="22"/>
        </w:rPr>
      </w:pPr>
      <w:r w:rsidRPr="00411B85">
        <w:rPr>
          <w:sz w:val="22"/>
        </w:rPr>
        <w:t>1) Требование 1. «Установить и обеспечить функционирование межсетевых экранов для защиты данных о держателях карт».</w:t>
      </w:r>
    </w:p>
    <w:p w:rsidR="00BB0D33" w:rsidRPr="00E30493" w:rsidRDefault="00411B85" w:rsidP="00411B85">
      <w:pPr>
        <w:rPr>
          <w:sz w:val="22"/>
        </w:rPr>
      </w:pPr>
      <w:r w:rsidRPr="00411B85">
        <w:rPr>
          <w:sz w:val="22"/>
        </w:rPr>
        <w:t>2) Требование 2. «Не использовать пароли и другие системные параметры, заданные производителем по умолчанию».</w:t>
      </w:r>
    </w:p>
    <w:p w:rsidR="00411B85" w:rsidRPr="00411B85" w:rsidRDefault="00411B85" w:rsidP="00411B85">
      <w:pPr>
        <w:rPr>
          <w:sz w:val="22"/>
        </w:rPr>
      </w:pPr>
      <w:r w:rsidRPr="00411B85">
        <w:rPr>
          <w:sz w:val="22"/>
        </w:rPr>
        <w:t>3) Требование 3. «Обеспечить безопасное хранение данных о держателях карт».</w:t>
      </w:r>
    </w:p>
    <w:p w:rsidR="00411B85" w:rsidRPr="00E30493" w:rsidRDefault="00411B85" w:rsidP="00411B85">
      <w:pPr>
        <w:rPr>
          <w:sz w:val="22"/>
        </w:rPr>
      </w:pPr>
      <w:r w:rsidRPr="00411B85">
        <w:rPr>
          <w:sz w:val="22"/>
        </w:rPr>
        <w:t>4) Требование 4. «Обеспечить шифрование данных о держателях карт при их передаче через сети общего пользования».</w:t>
      </w:r>
    </w:p>
    <w:p w:rsidR="00411B85" w:rsidRPr="00411B85" w:rsidRDefault="00411B85" w:rsidP="00411B85">
      <w:pPr>
        <w:rPr>
          <w:sz w:val="22"/>
        </w:rPr>
      </w:pPr>
      <w:r w:rsidRPr="00411B85">
        <w:rPr>
          <w:sz w:val="22"/>
        </w:rPr>
        <w:t>5) Требование 5. «Использовать и регулярно обновлять антивирусное программное обеспечение».</w:t>
      </w:r>
    </w:p>
    <w:p w:rsidR="00411B85" w:rsidRPr="00411B85" w:rsidRDefault="00411B85" w:rsidP="00411B85">
      <w:pPr>
        <w:rPr>
          <w:sz w:val="22"/>
        </w:rPr>
      </w:pPr>
      <w:r w:rsidRPr="00411B85">
        <w:rPr>
          <w:sz w:val="22"/>
        </w:rPr>
        <w:t>6) Требование 6. «Разрабатывать и поддерживать безопасные системы и приложения».</w:t>
      </w:r>
    </w:p>
    <w:p w:rsidR="00411B85" w:rsidRPr="00411B85" w:rsidRDefault="00411B85" w:rsidP="00411B85">
      <w:pPr>
        <w:rPr>
          <w:sz w:val="22"/>
        </w:rPr>
      </w:pPr>
      <w:r w:rsidRPr="00411B85">
        <w:rPr>
          <w:sz w:val="22"/>
        </w:rPr>
        <w:t>7) Требование 7. «Ограничить доступ к данным о держателях карт в соответствии со служебной необходимостью».</w:t>
      </w:r>
    </w:p>
    <w:p w:rsidR="00411B85" w:rsidRPr="00411B85" w:rsidRDefault="00411B85" w:rsidP="00411B85">
      <w:pPr>
        <w:rPr>
          <w:sz w:val="22"/>
        </w:rPr>
      </w:pPr>
      <w:r w:rsidRPr="00411B85">
        <w:rPr>
          <w:sz w:val="22"/>
        </w:rPr>
        <w:t>8) Требование 8. «Назначить уникальный идентификатор каждому лицу, имеющему доступ к информационной инфраструктуре».</w:t>
      </w:r>
    </w:p>
    <w:p w:rsidR="00411B85" w:rsidRPr="00411B85" w:rsidRDefault="00411B85" w:rsidP="00411B85">
      <w:pPr>
        <w:rPr>
          <w:sz w:val="22"/>
        </w:rPr>
      </w:pPr>
      <w:r w:rsidRPr="00411B85">
        <w:rPr>
          <w:sz w:val="22"/>
        </w:rPr>
        <w:t>9) Требование 9. «Ограничить физический доступ к данным о держателях карт».</w:t>
      </w:r>
    </w:p>
    <w:p w:rsidR="00411B85" w:rsidRPr="00411B85" w:rsidRDefault="00411B85" w:rsidP="00411B85">
      <w:pPr>
        <w:rPr>
          <w:sz w:val="22"/>
        </w:rPr>
      </w:pPr>
      <w:r w:rsidRPr="00411B85">
        <w:rPr>
          <w:sz w:val="22"/>
        </w:rPr>
        <w:t>10) Требование 10. «Контролировать и отслеживать любой доступ к сетевым ресурсам и данным о держателях карт».</w:t>
      </w:r>
    </w:p>
    <w:p w:rsidR="00411B85" w:rsidRPr="00E30493" w:rsidRDefault="00411B85" w:rsidP="00411B85">
      <w:pPr>
        <w:rPr>
          <w:sz w:val="22"/>
        </w:rPr>
      </w:pPr>
      <w:r w:rsidRPr="00411B85">
        <w:rPr>
          <w:sz w:val="22"/>
        </w:rPr>
        <w:t>11) Требование 11. «Регулярно выполнять тестирование систем и процессов обеспечения безопасности».</w:t>
      </w:r>
    </w:p>
    <w:p w:rsidR="00411B85" w:rsidRPr="00411B85" w:rsidRDefault="00411B85" w:rsidP="00411B85">
      <w:pPr>
        <w:rPr>
          <w:sz w:val="22"/>
        </w:rPr>
      </w:pPr>
      <w:r w:rsidRPr="00411B85">
        <w:rPr>
          <w:sz w:val="22"/>
        </w:rPr>
        <w:t>12) Требование 12. «Разработать и поддерживать политику информационной безопасности».</w:t>
      </w:r>
    </w:p>
    <w:p w:rsidR="00411B85" w:rsidRPr="00411B85" w:rsidRDefault="00411B85" w:rsidP="00BB0D33">
      <w:pPr>
        <w:rPr>
          <w:sz w:val="22"/>
        </w:rPr>
      </w:pPr>
    </w:p>
    <w:p w:rsidR="00BB0D33" w:rsidRPr="00762786" w:rsidRDefault="00BB0D33" w:rsidP="00BB0D33">
      <w:pPr>
        <w:rPr>
          <w:sz w:val="22"/>
        </w:rPr>
      </w:pPr>
      <w:r w:rsidRPr="00762786">
        <w:rPr>
          <w:sz w:val="22"/>
        </w:rPr>
        <w:t>10. Программы обеспечения безопасности Visa и MasterCard.</w:t>
      </w:r>
    </w:p>
    <w:p w:rsidR="00BB0D33" w:rsidRPr="00057E39" w:rsidRDefault="00411B85" w:rsidP="00BB0D33">
      <w:pPr>
        <w:rPr>
          <w:sz w:val="22"/>
        </w:rPr>
      </w:pPr>
      <w:r>
        <w:rPr>
          <w:sz w:val="22"/>
          <w:lang w:val="en-US"/>
        </w:rPr>
        <w:t>VISA</w:t>
      </w:r>
      <w:r w:rsidRPr="00057E39">
        <w:rPr>
          <w:sz w:val="22"/>
        </w:rPr>
        <w:t xml:space="preserve"> </w:t>
      </w:r>
      <w:r>
        <w:rPr>
          <w:sz w:val="22"/>
          <w:lang w:val="en-US"/>
        </w:rPr>
        <w:t>AIS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lastRenderedPageBreak/>
        <w:t>Требования программы Visa AIS, которые должны быть выполнены организацией, зависят от числа ежегодно хранимых, обрабатываемых и передаваемых ею учетных данных Visa.</w:t>
      </w:r>
      <w:r w:rsidR="00E95691">
        <w:rPr>
          <w:sz w:val="22"/>
        </w:rPr>
        <w:t xml:space="preserve"> </w:t>
      </w:r>
      <w:r w:rsidRPr="00057E39">
        <w:rPr>
          <w:sz w:val="22"/>
        </w:rPr>
        <w:t>В соответствии с этими данными эквайер присваивает определенный уровень торгово-сервисному предприятию. Ниже представлен список требований программы для торгово-сервисных предприятий и сервис провайдеров.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Требования к торгово-сервисным предприятиям (merchants):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1) ежегодный аудит на соответствие требованиям PCI DSS (любое ТСП, обрабатывающее более 6 млн. транзакций по Visa в год или интернациональные ТСП, которым был присвоен 1 уровень Visa в другом регионе или стране);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2) ежегодное самостоятельное заполнение опросного листа (SAQ) (ТСП, обрабатывающие от 1 млн. до 6 млн. транзакций по Visa в год по всем платежным каналам или ТСП, обрабатывающие от 20 000 до 1 млн. транзакций электронной торговли по Visa в год);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3) ежеквартальное сканирование сети поставщиком услуг сканирования (ASV);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4) наличие аттестата соответствия (для всех уровне ТСП);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5) проверка соответствия требованиям, выполняемая эквайером (ТСП, обрабатывающие менее 20 000 транзакций электронной торговли по Visa в год, или все другие ТСП, обрабатывающие до 1 млн. транзакций в год).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Требования, предъявляемые Visa к сервис-провайдерам (Service Providers):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1) ежегодный аудит на соответствие требованиям PCI DSS;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2) ежегодное заполнение SAQ (любой поставщик услуг, обрабатывающий менее 300 000 транзакций по Visa в год);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3) ежеквартальное сканирование сети в соответствии со стандартом PCI DSS;</w:t>
      </w:r>
    </w:p>
    <w:p w:rsidR="00411B85" w:rsidRPr="00E30493" w:rsidRDefault="00057E39" w:rsidP="00057E39">
      <w:pPr>
        <w:rPr>
          <w:sz w:val="22"/>
        </w:rPr>
      </w:pPr>
      <w:r w:rsidRPr="00057E39">
        <w:rPr>
          <w:sz w:val="22"/>
        </w:rPr>
        <w:t>4) наличие аттестата соответствия.</w:t>
      </w:r>
    </w:p>
    <w:p w:rsidR="00057E39" w:rsidRPr="00E30493" w:rsidRDefault="00057E39" w:rsidP="00057E39">
      <w:pPr>
        <w:rPr>
          <w:sz w:val="22"/>
        </w:rPr>
      </w:pP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Программа MasterCard SDP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Программа MasterCard Site Data Protection (SDP), утвержденная MasterCard, предназначена для обеспечения безопасного хранения ТСП и сервис-провайдерами данных учетных записей MasterCard в соответствии со стандартом PCI DSS. Ниже представлен список требований программы для торгово-сервисных предприятий и сервис провайдеров.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Требования, предъявляемые MasterCard торгово-сервисным предприятиям (merchants):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а) ТСП уровня 1 (все ТСП, с ежегодным оборотом более 6 миллионов транзакций ежегодно по картам MasterCard и Maestro; все ТСП, пострадавшие от взлома или атаки, результатом которого была утечка данных; любое ТСП, которое было отнесено к уровню 1, по усмотрению MasterCard) должны выполнять следующие требования: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1) ежегодный аудит, выполняемый QSA;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2) ежеквартальное сканирование сети, выполняемое ASV;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3) обязательное выполнение процедур подтверждения соответствия.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lastRenderedPageBreak/>
        <w:t>б) ТСП уровня 2 (все ТСП с оборотом более 1 миллиона, но менее либо равным 6 миллионам транзакций ежегодно по картам MasterCard и Maestro; все ТСП, соответствующие уровню 2 другой платежной системы) должны выполнять следующие требования: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1) ежегодный аудит, проводимый QSA;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2) ежегодное заполнение опросного листа SAQ (до 31 декабря 2010 года);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3) ежеквартальное сканирование сети, проводимое ASV;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4) выполнение начальных процедур проверки соответствия (до 31 декабря 2010 года).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в) ТСП уровня 3 (все ТСП, количество транзакций электронной торговли по MasterCard и Maestro превышает 20 000 в год, но общее количество транзакций электронной торговли по MasterCard и Maestro не превышает 1 миллиона; все ТСП, соответствующие уровню 3 другой платежной системы) должны выполнять следующие требования: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1) ежегодное заполнение опросного листа SAQ;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2) ежеквартальное сканирование сети, проводимое ASV;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 xml:space="preserve">3) обязательное выполнение процедур подтверждения соответствия. 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г) ТСП уровня 4 (все ТСП, не относящиеся к первым трем уровням) должны выполнять следующие требования: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1) ежегодное заполнение опросного листа SAQ;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2) ежеквартальное сканирование сети, проводимое ASV;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3) консультация с эквайером о дате выполнения процедур проверки соответствия.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Требования, предъявляемые MasterCard сервис-провайдерам (Service Providers):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а) Сервис-провайдеры уровня 1 (все сторонние процессинги; все организации хранения данных, которые хранят, передают или обрабатывают ежегодно более 300 000 транзакций MasterCard и Maestro) должны выполнять следующие требования: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1) ежегодный аудит, проводимый QSA;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2) ежеквартальное сканирование сети, проводимое ASV.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б) Сервис-провайдеры уровня 2 (все организации хранения данных, которые хранят, передают или обрабатывают ежегодно менее 300 000 транзакций MasterCard и Maestro) должны выполнять следующие требования: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1) ежегодное заполнение опросного листа SAQ;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2) ежеквартальное сканирование сети, проводимое ASV.</w:t>
      </w:r>
    </w:p>
    <w:p w:rsidR="00057E39" w:rsidRPr="00E30493" w:rsidRDefault="00057E39" w:rsidP="00BB0D33">
      <w:pPr>
        <w:rPr>
          <w:sz w:val="22"/>
        </w:rPr>
      </w:pPr>
    </w:p>
    <w:p w:rsidR="00BB0D33" w:rsidRPr="00157F4B" w:rsidRDefault="00BB0D33" w:rsidP="00BB0D33">
      <w:pPr>
        <w:rPr>
          <w:b/>
          <w:sz w:val="22"/>
        </w:rPr>
      </w:pPr>
      <w:r w:rsidRPr="00157F4B">
        <w:rPr>
          <w:b/>
          <w:sz w:val="22"/>
        </w:rPr>
        <w:t>11. Схема взаимодействия МПС с финансовыми организациями.</w:t>
      </w:r>
    </w:p>
    <w:p w:rsidR="00BB0D33" w:rsidRDefault="00157F4B" w:rsidP="00BB0D33">
      <w:pPr>
        <w:rPr>
          <w:sz w:val="22"/>
        </w:rPr>
      </w:pPr>
      <w:r w:rsidRPr="00157F4B">
        <w:rPr>
          <w:sz w:val="22"/>
        </w:rPr>
        <w:t>Международные платежные системы</w:t>
      </w:r>
      <w:r>
        <w:rPr>
          <w:sz w:val="22"/>
        </w:rPr>
        <w:t>( МПС)</w:t>
      </w:r>
    </w:p>
    <w:p w:rsidR="008F1B01" w:rsidRDefault="008F1B01" w:rsidP="00BB0D33">
      <w:pPr>
        <w:rPr>
          <w:sz w:val="22"/>
        </w:rPr>
      </w:pPr>
      <w:r w:rsidRPr="008F1B01">
        <w:rPr>
          <w:sz w:val="22"/>
        </w:rPr>
        <w:t>торгово-сервисные предприятия (ТСП)</w:t>
      </w:r>
    </w:p>
    <w:p w:rsidR="00157F4B" w:rsidRPr="00157F4B" w:rsidRDefault="00157F4B" w:rsidP="00157F4B">
      <w:pPr>
        <w:rPr>
          <w:sz w:val="22"/>
        </w:rPr>
      </w:pPr>
      <w:r w:rsidRPr="00157F4B">
        <w:rPr>
          <w:sz w:val="22"/>
        </w:rPr>
        <w:t>Уровень ТСП определяется непосредственно эквайером, к которому подключено ТСП. В свою очередь, МПС два раза в год требует от эквайеров предоставление отчетов о соответствии ТСП уровней 1, 2 и 3 требованиям стандарта PCI DSS. Таким образом, эквайер выполняет роль посредника между торгово-сервисными предприятиями и МПС. В случае нарушения торгово-</w:t>
      </w:r>
      <w:r w:rsidRPr="00157F4B">
        <w:rPr>
          <w:sz w:val="22"/>
        </w:rPr>
        <w:lastRenderedPageBreak/>
        <w:t>сервисными предприятиями правил МПС, Visa применит соответствующие меры по контролю рисков, которые могут выражаться в наложении штрафов на эквайеров [5].</w:t>
      </w:r>
    </w:p>
    <w:p w:rsidR="00157F4B" w:rsidRDefault="00157F4B" w:rsidP="00157F4B">
      <w:pPr>
        <w:rPr>
          <w:sz w:val="22"/>
        </w:rPr>
      </w:pPr>
      <w:r w:rsidRPr="00157F4B">
        <w:rPr>
          <w:sz w:val="22"/>
        </w:rPr>
        <w:t>Сервис-провайдеры, которые удовлетворяют критерию Уровня 1 проходят необходимые процедуры соответствия и включаются в список PCI DSS Compliant Service Providers. Сервис-провайдеры Уровня 2 не включаются в указанный список и контролируются соответствующими эквайерами (контроль представляет собой мониторинг результатов самоопросника).</w:t>
      </w:r>
    </w:p>
    <w:p w:rsidR="00157F4B" w:rsidRPr="00762786" w:rsidRDefault="00157F4B" w:rsidP="00BB0D33">
      <w:pPr>
        <w:rPr>
          <w:sz w:val="22"/>
        </w:rPr>
      </w:pPr>
    </w:p>
    <w:p w:rsidR="00BB0D33" w:rsidRPr="00E30493" w:rsidRDefault="00BB0D33" w:rsidP="00BB0D33">
      <w:pPr>
        <w:rPr>
          <w:sz w:val="22"/>
        </w:rPr>
      </w:pPr>
      <w:r w:rsidRPr="00762786">
        <w:rPr>
          <w:sz w:val="22"/>
        </w:rPr>
        <w:t>12. Аудит ИБ по стандарту PCI DSS.</w:t>
      </w:r>
    </w:p>
    <w:p w:rsidR="00057E39" w:rsidRPr="00E30493" w:rsidRDefault="00057E39" w:rsidP="00BB0D33">
      <w:pPr>
        <w:rPr>
          <w:sz w:val="22"/>
        </w:rPr>
      </w:pPr>
      <w:r w:rsidRPr="00057E39">
        <w:rPr>
          <w:sz w:val="22"/>
        </w:rPr>
        <w:t>1) Аудит на соответствие требованиям стандарта PCI DSS</w:t>
      </w:r>
    </w:p>
    <w:p w:rsidR="00057E39" w:rsidRPr="00E30493" w:rsidRDefault="00057E39" w:rsidP="00BB0D33">
      <w:pPr>
        <w:rPr>
          <w:sz w:val="22"/>
        </w:rPr>
      </w:pPr>
      <w:r w:rsidRPr="00057E39">
        <w:rPr>
          <w:sz w:val="22"/>
        </w:rPr>
        <w:t>2) Подготовка инфраструктуры Заказчика для проведения аудита на соответствие требованиям стандарта PCI DSS</w:t>
      </w:r>
    </w:p>
    <w:p w:rsidR="00057E39" w:rsidRPr="00E30493" w:rsidRDefault="00057E39" w:rsidP="00BB0D33">
      <w:pPr>
        <w:rPr>
          <w:sz w:val="22"/>
        </w:rPr>
      </w:pPr>
      <w:r w:rsidRPr="00057E39">
        <w:rPr>
          <w:sz w:val="22"/>
        </w:rPr>
        <w:t>3) Сканирование уязвимостей в соответствии с требованиями стандарта PCI DSS</w:t>
      </w:r>
    </w:p>
    <w:p w:rsidR="00057E39" w:rsidRPr="00E30493" w:rsidRDefault="00057E39" w:rsidP="00BB0D33">
      <w:pPr>
        <w:rPr>
          <w:sz w:val="22"/>
        </w:rPr>
      </w:pPr>
      <w:r w:rsidRPr="00057E39">
        <w:rPr>
          <w:sz w:val="22"/>
        </w:rPr>
        <w:t>4) Тест на проникновение в соответствии с требованиями стандарта PCI DSS</w:t>
      </w:r>
    </w:p>
    <w:p w:rsidR="00057E39" w:rsidRPr="00E30493" w:rsidRDefault="00057E39" w:rsidP="00BB0D33">
      <w:pPr>
        <w:rPr>
          <w:sz w:val="22"/>
        </w:rPr>
      </w:pPr>
      <w:r w:rsidRPr="00057E39">
        <w:rPr>
          <w:sz w:val="22"/>
        </w:rPr>
        <w:t>5) Курсы повышения квалификации в области информационной безопасности сотрудников организации-заказчика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Среди подходов к проведению аудитов ИБ различают два принципиально разных методики:</w:t>
      </w:r>
    </w:p>
    <w:p w:rsidR="00057E39" w:rsidRPr="00057E39" w:rsidRDefault="00057E39" w:rsidP="00057E39">
      <w:pPr>
        <w:rPr>
          <w:sz w:val="22"/>
        </w:rPr>
      </w:pPr>
      <w:r w:rsidRPr="00057E39">
        <w:rPr>
          <w:sz w:val="22"/>
        </w:rPr>
        <w:t>1) тесты на проникновение;</w:t>
      </w:r>
    </w:p>
    <w:p w:rsidR="00057E39" w:rsidRPr="00E30493" w:rsidRDefault="00057E39" w:rsidP="00057E39">
      <w:pPr>
        <w:rPr>
          <w:sz w:val="22"/>
        </w:rPr>
      </w:pPr>
      <w:r w:rsidRPr="00057E39">
        <w:rPr>
          <w:sz w:val="22"/>
        </w:rPr>
        <w:t>2) технологический аудит информационной безопасности.</w:t>
      </w:r>
    </w:p>
    <w:p w:rsidR="00157F4B" w:rsidRPr="00157F4B" w:rsidRDefault="00157F4B" w:rsidP="00057E39">
      <w:pPr>
        <w:rPr>
          <w:sz w:val="22"/>
        </w:rPr>
      </w:pPr>
      <w:r w:rsidRPr="00157F4B">
        <w:rPr>
          <w:sz w:val="22"/>
        </w:rPr>
        <w:t>Основные этапы проведения аудита</w:t>
      </w:r>
    </w:p>
    <w:p w:rsidR="00157F4B" w:rsidRPr="00E30493" w:rsidRDefault="00157F4B" w:rsidP="00157F4B">
      <w:pPr>
        <w:pStyle w:val="a7"/>
        <w:numPr>
          <w:ilvl w:val="0"/>
          <w:numId w:val="9"/>
        </w:numPr>
        <w:rPr>
          <w:sz w:val="22"/>
        </w:rPr>
      </w:pPr>
      <w:r w:rsidRPr="00157F4B">
        <w:rPr>
          <w:sz w:val="22"/>
        </w:rPr>
        <w:t>Этап первый. Анализ и систематизация.</w:t>
      </w:r>
    </w:p>
    <w:p w:rsidR="00157F4B" w:rsidRPr="00157F4B" w:rsidRDefault="00157F4B" w:rsidP="00157F4B">
      <w:pPr>
        <w:pStyle w:val="a7"/>
        <w:numPr>
          <w:ilvl w:val="0"/>
          <w:numId w:val="9"/>
        </w:numPr>
        <w:rPr>
          <w:sz w:val="22"/>
        </w:rPr>
      </w:pPr>
      <w:r w:rsidRPr="00157F4B">
        <w:rPr>
          <w:sz w:val="22"/>
        </w:rPr>
        <w:t>2) Этап второй. Оценка соответствия требованиям стандарта.</w:t>
      </w:r>
    </w:p>
    <w:p w:rsidR="00157F4B" w:rsidRPr="00157F4B" w:rsidRDefault="00157F4B" w:rsidP="00157F4B">
      <w:pPr>
        <w:pStyle w:val="a7"/>
        <w:numPr>
          <w:ilvl w:val="0"/>
          <w:numId w:val="9"/>
        </w:numPr>
        <w:rPr>
          <w:sz w:val="22"/>
        </w:rPr>
      </w:pPr>
      <w:r w:rsidRPr="00157F4B">
        <w:rPr>
          <w:sz w:val="22"/>
        </w:rPr>
        <w:t>3) Этап третий. Формирование отчета.</w:t>
      </w:r>
    </w:p>
    <w:p w:rsidR="00BB0D33" w:rsidRPr="00762786" w:rsidRDefault="00BB0D33" w:rsidP="00BB0D33">
      <w:pPr>
        <w:rPr>
          <w:sz w:val="22"/>
        </w:rPr>
      </w:pPr>
    </w:p>
    <w:p w:rsidR="00BB0D33" w:rsidRPr="00762786" w:rsidRDefault="00BB0D33" w:rsidP="00BB0D33">
      <w:pPr>
        <w:rPr>
          <w:sz w:val="22"/>
        </w:rPr>
      </w:pPr>
      <w:r w:rsidRPr="00762786">
        <w:rPr>
          <w:sz w:val="22"/>
        </w:rPr>
        <w:t>13. Основные характеристики технологии NFC.</w:t>
      </w:r>
    </w:p>
    <w:p w:rsidR="00120893" w:rsidRPr="00120893" w:rsidRDefault="00120893" w:rsidP="00120893">
      <w:pPr>
        <w:rPr>
          <w:b/>
          <w:bCs/>
          <w:sz w:val="22"/>
        </w:rPr>
      </w:pPr>
      <w:r w:rsidRPr="00120893">
        <w:rPr>
          <w:bCs/>
          <w:sz w:val="22"/>
          <w:lang w:bidi="ru-RU"/>
        </w:rPr>
        <w:t>Технология NFC - следующее поколение технологий беспроводной связи, основанных на физическом принципе взаимной индукции. Создана на основе существующих стандартов и технологий бесконтактных смарт-карт.</w:t>
      </w:r>
    </w:p>
    <w:p w:rsidR="00120893" w:rsidRPr="00120893" w:rsidRDefault="00120893" w:rsidP="00120893">
      <w:pPr>
        <w:numPr>
          <w:ilvl w:val="0"/>
          <w:numId w:val="6"/>
        </w:numPr>
        <w:rPr>
          <w:b/>
          <w:bCs/>
          <w:sz w:val="22"/>
        </w:rPr>
      </w:pPr>
      <w:r w:rsidRPr="00120893">
        <w:rPr>
          <w:bCs/>
          <w:sz w:val="22"/>
          <w:lang w:bidi="ru-RU"/>
        </w:rPr>
        <w:t>несущая частота 13,56 Мгц</w:t>
      </w:r>
    </w:p>
    <w:p w:rsidR="00120893" w:rsidRPr="00120893" w:rsidRDefault="00120893" w:rsidP="00120893">
      <w:pPr>
        <w:numPr>
          <w:ilvl w:val="0"/>
          <w:numId w:val="5"/>
        </w:numPr>
        <w:rPr>
          <w:b/>
          <w:bCs/>
          <w:sz w:val="22"/>
        </w:rPr>
      </w:pPr>
      <w:r w:rsidRPr="00120893">
        <w:rPr>
          <w:bCs/>
          <w:sz w:val="22"/>
          <w:lang w:bidi="ru-RU"/>
        </w:rPr>
        <w:t>дальность действия до 10 см</w:t>
      </w:r>
    </w:p>
    <w:p w:rsidR="00120893" w:rsidRPr="00120893" w:rsidRDefault="00120893" w:rsidP="00120893">
      <w:pPr>
        <w:numPr>
          <w:ilvl w:val="0"/>
          <w:numId w:val="5"/>
        </w:numPr>
        <w:rPr>
          <w:b/>
          <w:bCs/>
          <w:sz w:val="22"/>
        </w:rPr>
      </w:pPr>
      <w:r w:rsidRPr="00120893">
        <w:rPr>
          <w:bCs/>
          <w:sz w:val="22"/>
          <w:lang w:bidi="ru-RU"/>
        </w:rPr>
        <w:t>скорость передачи данных 106, 212, и 424 кбит/с</w:t>
      </w:r>
    </w:p>
    <w:p w:rsidR="00120893" w:rsidRPr="00120893" w:rsidRDefault="00120893" w:rsidP="00120893">
      <w:pPr>
        <w:numPr>
          <w:ilvl w:val="0"/>
          <w:numId w:val="5"/>
        </w:numPr>
        <w:rPr>
          <w:b/>
          <w:bCs/>
          <w:sz w:val="22"/>
        </w:rPr>
      </w:pPr>
      <w:r w:rsidRPr="00120893">
        <w:rPr>
          <w:bCs/>
          <w:sz w:val="22"/>
          <w:lang w:bidi="ru-RU"/>
        </w:rPr>
        <w:t>автоматическая инициация сеанса связи</w:t>
      </w:r>
    </w:p>
    <w:p w:rsidR="00120893" w:rsidRPr="00120893" w:rsidRDefault="00120893" w:rsidP="00120893">
      <w:pPr>
        <w:numPr>
          <w:ilvl w:val="0"/>
          <w:numId w:val="5"/>
        </w:numPr>
        <w:rPr>
          <w:b/>
          <w:bCs/>
          <w:sz w:val="22"/>
        </w:rPr>
      </w:pPr>
      <w:r w:rsidRPr="00120893">
        <w:rPr>
          <w:bCs/>
          <w:sz w:val="22"/>
          <w:lang w:bidi="ru-RU"/>
        </w:rPr>
        <w:t>конфигурирование канала связи менее 0,1 секунды</w:t>
      </w:r>
    </w:p>
    <w:p w:rsidR="00120893" w:rsidRPr="00120893" w:rsidRDefault="00120893" w:rsidP="00120893">
      <w:pPr>
        <w:rPr>
          <w:b/>
          <w:bCs/>
          <w:sz w:val="22"/>
        </w:rPr>
      </w:pPr>
      <w:r w:rsidRPr="00120893">
        <w:rPr>
          <w:bCs/>
          <w:sz w:val="22"/>
          <w:lang w:bidi="ru-RU"/>
        </w:rPr>
        <w:t xml:space="preserve">Технология </w:t>
      </w:r>
      <w:r w:rsidRPr="00120893">
        <w:rPr>
          <w:bCs/>
          <w:sz w:val="22"/>
          <w:lang w:bidi="en-US"/>
        </w:rPr>
        <w:t>NFC</w:t>
      </w:r>
      <w:r w:rsidRPr="00120893">
        <w:rPr>
          <w:bCs/>
          <w:sz w:val="22"/>
        </w:rPr>
        <w:t xml:space="preserve"> </w:t>
      </w:r>
      <w:r w:rsidRPr="00120893">
        <w:rPr>
          <w:bCs/>
          <w:sz w:val="22"/>
          <w:lang w:bidi="ru-RU"/>
        </w:rPr>
        <w:t>в настоящее время главным образом нацеливается на использование в мобильных телефонах и планшетах.</w:t>
      </w:r>
    </w:p>
    <w:p w:rsidR="00120893" w:rsidRPr="00762786" w:rsidRDefault="00120893" w:rsidP="00BB0D33">
      <w:pPr>
        <w:rPr>
          <w:sz w:val="22"/>
        </w:rPr>
      </w:pPr>
    </w:p>
    <w:p w:rsidR="00BB0D33" w:rsidRPr="00762786" w:rsidRDefault="00BB0D33" w:rsidP="00BB0D33">
      <w:pPr>
        <w:rPr>
          <w:sz w:val="22"/>
        </w:rPr>
      </w:pPr>
      <w:r w:rsidRPr="00762786">
        <w:rPr>
          <w:sz w:val="22"/>
        </w:rPr>
        <w:t>14. Области применения NFC.</w:t>
      </w:r>
    </w:p>
    <w:p w:rsidR="00120893" w:rsidRPr="00120893" w:rsidRDefault="00120893" w:rsidP="00120893">
      <w:pPr>
        <w:rPr>
          <w:b/>
          <w:bCs/>
          <w:sz w:val="22"/>
        </w:rPr>
      </w:pPr>
      <w:r w:rsidRPr="00120893">
        <w:rPr>
          <w:bCs/>
          <w:sz w:val="22"/>
          <w:lang w:bidi="ru-RU"/>
        </w:rPr>
        <w:t xml:space="preserve">Три основных области применения </w:t>
      </w:r>
      <w:r w:rsidRPr="00120893">
        <w:rPr>
          <w:bCs/>
          <w:sz w:val="22"/>
          <w:lang w:bidi="en-US"/>
        </w:rPr>
        <w:t>NFC</w:t>
      </w:r>
      <w:r w:rsidRPr="00120893">
        <w:rPr>
          <w:bCs/>
          <w:sz w:val="22"/>
        </w:rPr>
        <w:t>:</w:t>
      </w:r>
    </w:p>
    <w:p w:rsidR="00120893" w:rsidRPr="00120893" w:rsidRDefault="00120893" w:rsidP="00120893">
      <w:pPr>
        <w:numPr>
          <w:ilvl w:val="0"/>
          <w:numId w:val="8"/>
        </w:numPr>
        <w:rPr>
          <w:b/>
          <w:bCs/>
          <w:sz w:val="22"/>
        </w:rPr>
      </w:pPr>
      <w:r w:rsidRPr="00120893">
        <w:rPr>
          <w:bCs/>
          <w:sz w:val="22"/>
          <w:lang w:bidi="ru-RU"/>
        </w:rPr>
        <w:lastRenderedPageBreak/>
        <w:t xml:space="preserve">эмуляция карт: устройство </w:t>
      </w:r>
      <w:r w:rsidRPr="00120893">
        <w:rPr>
          <w:bCs/>
          <w:sz w:val="22"/>
          <w:lang w:bidi="en-US"/>
        </w:rPr>
        <w:t>NFC</w:t>
      </w:r>
      <w:r w:rsidRPr="00120893">
        <w:rPr>
          <w:bCs/>
          <w:sz w:val="22"/>
        </w:rPr>
        <w:t xml:space="preserve"> </w:t>
      </w:r>
      <w:r w:rsidRPr="00120893">
        <w:rPr>
          <w:bCs/>
          <w:sz w:val="22"/>
          <w:lang w:bidi="ru-RU"/>
        </w:rPr>
        <w:t>ведет себя как существующая бесконтактная карта;</w:t>
      </w:r>
    </w:p>
    <w:p w:rsidR="00120893" w:rsidRPr="00120893" w:rsidRDefault="00120893" w:rsidP="00120893">
      <w:pPr>
        <w:numPr>
          <w:ilvl w:val="0"/>
          <w:numId w:val="7"/>
        </w:numPr>
        <w:rPr>
          <w:b/>
          <w:bCs/>
          <w:sz w:val="22"/>
        </w:rPr>
      </w:pPr>
      <w:r w:rsidRPr="00120893">
        <w:rPr>
          <w:bCs/>
          <w:sz w:val="22"/>
          <w:lang w:bidi="ru-RU"/>
        </w:rPr>
        <w:t xml:space="preserve">режим считывания: устройство </w:t>
      </w:r>
      <w:r w:rsidRPr="00120893">
        <w:rPr>
          <w:bCs/>
          <w:sz w:val="22"/>
          <w:lang w:bidi="en-US"/>
        </w:rPr>
        <w:t>NFC</w:t>
      </w:r>
      <w:r w:rsidRPr="00120893">
        <w:rPr>
          <w:bCs/>
          <w:sz w:val="22"/>
        </w:rPr>
        <w:t xml:space="preserve"> </w:t>
      </w:r>
      <w:r w:rsidRPr="00120893">
        <w:rPr>
          <w:bCs/>
          <w:sz w:val="22"/>
          <w:lang w:bidi="ru-RU"/>
        </w:rPr>
        <w:t xml:space="preserve">является активным и считывает пассивную </w:t>
      </w:r>
      <w:r w:rsidRPr="00120893">
        <w:rPr>
          <w:bCs/>
          <w:sz w:val="22"/>
          <w:lang w:bidi="en-US"/>
        </w:rPr>
        <w:t>RFID</w:t>
      </w:r>
      <w:r w:rsidRPr="00120893">
        <w:rPr>
          <w:bCs/>
          <w:sz w:val="22"/>
          <w:lang w:bidi="ru-RU"/>
        </w:rPr>
        <w:t>-метку, например, для интерактивной рекламы;</w:t>
      </w:r>
    </w:p>
    <w:p w:rsidR="00120893" w:rsidRPr="00120893" w:rsidRDefault="00120893" w:rsidP="00120893">
      <w:pPr>
        <w:numPr>
          <w:ilvl w:val="0"/>
          <w:numId w:val="7"/>
        </w:numPr>
        <w:rPr>
          <w:b/>
          <w:bCs/>
          <w:sz w:val="22"/>
        </w:rPr>
      </w:pPr>
      <w:r w:rsidRPr="00120893">
        <w:rPr>
          <w:bCs/>
          <w:sz w:val="22"/>
          <w:lang w:bidi="ru-RU"/>
        </w:rPr>
        <w:t xml:space="preserve">режим P2P: два устройства </w:t>
      </w:r>
      <w:r w:rsidRPr="00120893">
        <w:rPr>
          <w:bCs/>
          <w:sz w:val="22"/>
          <w:lang w:bidi="en-US"/>
        </w:rPr>
        <w:t>NFC</w:t>
      </w:r>
      <w:r w:rsidRPr="00120893">
        <w:rPr>
          <w:bCs/>
          <w:sz w:val="22"/>
        </w:rPr>
        <w:t xml:space="preserve"> </w:t>
      </w:r>
      <w:r w:rsidRPr="00120893">
        <w:rPr>
          <w:bCs/>
          <w:sz w:val="22"/>
          <w:lang w:bidi="ru-RU"/>
        </w:rPr>
        <w:t>вместе связываются и обмениваются</w:t>
      </w:r>
    </w:p>
    <w:p w:rsidR="00120893" w:rsidRPr="00120893" w:rsidRDefault="00120893" w:rsidP="00120893">
      <w:pPr>
        <w:rPr>
          <w:b/>
          <w:bCs/>
          <w:sz w:val="22"/>
        </w:rPr>
      </w:pPr>
      <w:r w:rsidRPr="00120893">
        <w:rPr>
          <w:bCs/>
          <w:sz w:val="22"/>
          <w:lang w:bidi="ru-RU"/>
        </w:rPr>
        <w:t>информацией.</w:t>
      </w:r>
    </w:p>
    <w:p w:rsidR="00120893" w:rsidRPr="00762786" w:rsidRDefault="00120893" w:rsidP="00BB0D33">
      <w:pPr>
        <w:rPr>
          <w:sz w:val="22"/>
        </w:rPr>
      </w:pPr>
    </w:p>
    <w:p w:rsidR="00621764" w:rsidRDefault="00BB0D33" w:rsidP="00BB0D33">
      <w:pPr>
        <w:rPr>
          <w:sz w:val="22"/>
        </w:rPr>
      </w:pPr>
      <w:r w:rsidRPr="00762786">
        <w:rPr>
          <w:sz w:val="22"/>
        </w:rPr>
        <w:t>15. Стандарты по NFC.</w:t>
      </w:r>
    </w:p>
    <w:p w:rsidR="00B9166A" w:rsidRPr="00B9166A" w:rsidRDefault="00B9166A" w:rsidP="00B9166A">
      <w:pPr>
        <w:rPr>
          <w:sz w:val="22"/>
          <w:lang w:val="en-US"/>
        </w:rPr>
      </w:pPr>
      <w:r w:rsidRPr="00B9166A">
        <w:rPr>
          <w:sz w:val="22"/>
        </w:rPr>
        <w:t>NFC — технология с открытой платформой, стандартизированная в ECMA-340 и ISO/IEC 18092-2003. Эти стандарты определяют схемы модуляции, кодирование, скорости передачи и радиочастотную структуру интерфейса устройств NFC, а также схемы инициализации и условия, требуемые для контроля за конфликтными ситуациями во время инициализации — и для пассивных и для активных режимов NFC. Кроме того, они также определяют протокол передачи, включая протокол активации и способ обмена данными. Радиоинтерфейс</w:t>
      </w:r>
      <w:r w:rsidRPr="00B9166A">
        <w:rPr>
          <w:sz w:val="22"/>
          <w:lang w:val="en-US"/>
        </w:rPr>
        <w:t xml:space="preserve"> </w:t>
      </w:r>
      <w:r w:rsidRPr="00B9166A">
        <w:rPr>
          <w:sz w:val="22"/>
        </w:rPr>
        <w:t>для</w:t>
      </w:r>
      <w:r w:rsidRPr="00B9166A">
        <w:rPr>
          <w:sz w:val="22"/>
          <w:lang w:val="en-US"/>
        </w:rPr>
        <w:t xml:space="preserve"> NFC </w:t>
      </w:r>
      <w:r w:rsidRPr="00B9166A">
        <w:rPr>
          <w:sz w:val="22"/>
        </w:rPr>
        <w:t>стандартизирован</w:t>
      </w:r>
      <w:r w:rsidRPr="00B9166A">
        <w:rPr>
          <w:sz w:val="22"/>
          <w:lang w:val="en-US"/>
        </w:rPr>
        <w:t xml:space="preserve"> </w:t>
      </w:r>
      <w:r w:rsidRPr="00B9166A">
        <w:rPr>
          <w:sz w:val="22"/>
        </w:rPr>
        <w:t>в</w:t>
      </w:r>
      <w:r w:rsidRPr="00B9166A">
        <w:rPr>
          <w:sz w:val="22"/>
          <w:lang w:val="en-US"/>
        </w:rPr>
        <w:t>: ISO/IEC 18092 / ECMA-340 : Near Field Communication Interface and Protocol-1 (NFCIP-1)[3]</w:t>
      </w:r>
    </w:p>
    <w:p w:rsidR="00B9166A" w:rsidRPr="00B9166A" w:rsidRDefault="00B9166A" w:rsidP="00B9166A">
      <w:pPr>
        <w:rPr>
          <w:sz w:val="22"/>
          <w:lang w:val="en-US"/>
        </w:rPr>
      </w:pPr>
      <w:r w:rsidRPr="00B9166A">
        <w:rPr>
          <w:sz w:val="22"/>
          <w:lang w:val="en-US"/>
        </w:rPr>
        <w:t>ISO/IEC 21481 / ECMA-352 : Near Field Communication Interface and Protocol-2 (NFCIP-2)[4]</w:t>
      </w:r>
    </w:p>
    <w:p w:rsidR="00120893" w:rsidRPr="00E30493" w:rsidRDefault="00B9166A" w:rsidP="00B9166A">
      <w:pPr>
        <w:rPr>
          <w:sz w:val="22"/>
        </w:rPr>
      </w:pPr>
      <w:r w:rsidRPr="00B9166A">
        <w:rPr>
          <w:sz w:val="22"/>
        </w:rPr>
        <w:t>NFC объединяет множество ранее существовавших стандартов, включая ISO 14443, ISO 15693. Таким образом, телефоны, снабженные NFC, способны к взаимодействию с существующей ранее инфраструктурой считывателей. В «режиме эмуляции карты» устройство NFC должно по крайней мере передать уникальный идентификационный номер существующему ранее считывателю</w:t>
      </w:r>
    </w:p>
    <w:sectPr w:rsidR="00120893" w:rsidRPr="00E3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6006F"/>
    <w:multiLevelType w:val="multilevel"/>
    <w:tmpl w:val="B414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03EDB"/>
    <w:multiLevelType w:val="hybridMultilevel"/>
    <w:tmpl w:val="A89027EC"/>
    <w:lvl w:ilvl="0" w:tplc="AA3AF5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9148A7"/>
    <w:multiLevelType w:val="multilevel"/>
    <w:tmpl w:val="D814FA7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3455555D"/>
    <w:multiLevelType w:val="multilevel"/>
    <w:tmpl w:val="4494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DF6181"/>
    <w:multiLevelType w:val="multilevel"/>
    <w:tmpl w:val="D964673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8A04146"/>
    <w:multiLevelType w:val="multilevel"/>
    <w:tmpl w:val="D1D8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7AF019FB"/>
    <w:multiLevelType w:val="multilevel"/>
    <w:tmpl w:val="E26A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33"/>
    <w:rsid w:val="00057E39"/>
    <w:rsid w:val="00082346"/>
    <w:rsid w:val="000E391D"/>
    <w:rsid w:val="00120893"/>
    <w:rsid w:val="00157F4B"/>
    <w:rsid w:val="00181248"/>
    <w:rsid w:val="002737DC"/>
    <w:rsid w:val="003A4286"/>
    <w:rsid w:val="00411B85"/>
    <w:rsid w:val="005F079C"/>
    <w:rsid w:val="006113C4"/>
    <w:rsid w:val="00621764"/>
    <w:rsid w:val="006E4622"/>
    <w:rsid w:val="00717710"/>
    <w:rsid w:val="00762786"/>
    <w:rsid w:val="008440A2"/>
    <w:rsid w:val="00852B11"/>
    <w:rsid w:val="00891FCC"/>
    <w:rsid w:val="008D4885"/>
    <w:rsid w:val="008F1B01"/>
    <w:rsid w:val="00A6771B"/>
    <w:rsid w:val="00B203B7"/>
    <w:rsid w:val="00B221FE"/>
    <w:rsid w:val="00B9166A"/>
    <w:rsid w:val="00BB0D33"/>
    <w:rsid w:val="00CF2922"/>
    <w:rsid w:val="00D424A0"/>
    <w:rsid w:val="00DB151A"/>
    <w:rsid w:val="00DC052D"/>
    <w:rsid w:val="00DC3603"/>
    <w:rsid w:val="00E30493"/>
    <w:rsid w:val="00E95691"/>
    <w:rsid w:val="00EC5441"/>
    <w:rsid w:val="00F468AE"/>
    <w:rsid w:val="00F649B7"/>
    <w:rsid w:val="00F70C36"/>
    <w:rsid w:val="00F9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5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81248"/>
    <w:pPr>
      <w:keepNext/>
      <w:keepLines/>
      <w:ind w:firstLine="0"/>
      <w:jc w:val="center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1248"/>
    <w:pPr>
      <w:keepNext/>
      <w:keepLines/>
      <w:ind w:firstLine="0"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24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1248"/>
    <w:rPr>
      <w:rFonts w:ascii="Times New Roman" w:eastAsiaTheme="majorEastAsia" w:hAnsi="Times New Roman" w:cstheme="majorBidi"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B0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D3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F649B7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3A428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B151A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F2922"/>
    <w:pPr>
      <w:ind w:left="720"/>
      <w:contextualSpacing/>
    </w:pPr>
  </w:style>
  <w:style w:type="numbering" w:customStyle="1" w:styleId="WWNum4">
    <w:name w:val="WWNum4"/>
    <w:basedOn w:val="a2"/>
    <w:rsid w:val="00120893"/>
    <w:pPr>
      <w:numPr>
        <w:numId w:val="5"/>
      </w:numPr>
    </w:pPr>
  </w:style>
  <w:style w:type="numbering" w:customStyle="1" w:styleId="WWNum2">
    <w:name w:val="WWNum2"/>
    <w:basedOn w:val="a2"/>
    <w:rsid w:val="00120893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5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81248"/>
    <w:pPr>
      <w:keepNext/>
      <w:keepLines/>
      <w:ind w:firstLine="0"/>
      <w:jc w:val="center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1248"/>
    <w:pPr>
      <w:keepNext/>
      <w:keepLines/>
      <w:ind w:firstLine="0"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24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1248"/>
    <w:rPr>
      <w:rFonts w:ascii="Times New Roman" w:eastAsiaTheme="majorEastAsia" w:hAnsi="Times New Roman" w:cstheme="majorBidi"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B0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D3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F649B7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3A428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B151A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F2922"/>
    <w:pPr>
      <w:ind w:left="720"/>
      <w:contextualSpacing/>
    </w:pPr>
  </w:style>
  <w:style w:type="numbering" w:customStyle="1" w:styleId="WWNum4">
    <w:name w:val="WWNum4"/>
    <w:basedOn w:val="a2"/>
    <w:rsid w:val="00120893"/>
    <w:pPr>
      <w:numPr>
        <w:numId w:val="5"/>
      </w:numPr>
    </w:pPr>
  </w:style>
  <w:style w:type="numbering" w:customStyle="1" w:styleId="WWNum2">
    <w:name w:val="WWNum2"/>
    <w:basedOn w:val="a2"/>
    <w:rsid w:val="0012089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bank/46_3.html" TargetMode="External"/><Relationship Id="rId13" Type="http://schemas.openxmlformats.org/officeDocument/2006/relationships/hyperlink" Target="http://abiss.ru/standards/document_library/" TargetMode="External"/><Relationship Id="rId18" Type="http://schemas.openxmlformats.org/officeDocument/2006/relationships/hyperlink" Target="http://www.cbr.ru/credit/Gubzi_docs/st-10-14.pdf" TargetMode="External"/><Relationship Id="rId26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hyperlink" Target="http://www.cbr.ru/credit/gubzi_docs/st20.pdf" TargetMode="External"/><Relationship Id="rId7" Type="http://schemas.openxmlformats.org/officeDocument/2006/relationships/hyperlink" Target="http://www.consultant.ru/popular/bank/46_3.html" TargetMode="External"/><Relationship Id="rId12" Type="http://schemas.openxmlformats.org/officeDocument/2006/relationships/hyperlink" Target="http://www.orioncom.ru/demo_base_bkb/bnd/tema55_1.htm" TargetMode="External"/><Relationship Id="rId17" Type="http://schemas.openxmlformats.org/officeDocument/2006/relationships/hyperlink" Target="http://www.cbr.ru/credit/Gubzi_docs/main.asp?Prtid=Stnd" TargetMode="External"/><Relationship Id="rId25" Type="http://schemas.openxmlformats.org/officeDocument/2006/relationships/image" Target="media/image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ia.ru/economy/20140505/1006613510.html" TargetMode="External"/><Relationship Id="rId20" Type="http://schemas.openxmlformats.org/officeDocument/2006/relationships/hyperlink" Target="http://www.cbr.ru/credit/Gubzi_docs/st-12-14.pdf" TargetMode="External"/><Relationship Id="rId29" Type="http://schemas.openxmlformats.org/officeDocument/2006/relationships/hyperlink" Target="http://www.consultant.ru/document/cons_doc_LAW_14922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vsebanki.ru/text/196" TargetMode="External"/><Relationship Id="rId11" Type="http://schemas.openxmlformats.org/officeDocument/2006/relationships/hyperlink" Target="http://www.cbr.ru/credit/Gubzi_docs/main.asp?Prtid=Stnd" TargetMode="External"/><Relationship Id="rId24" Type="http://schemas.openxmlformats.org/officeDocument/2006/relationships/hyperlink" Target="http://www.cbr.ru/credit/Gubzi_docs/rs-25-14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49221/" TargetMode="External"/><Relationship Id="rId23" Type="http://schemas.openxmlformats.org/officeDocument/2006/relationships/hyperlink" Target="http://www.cbr.ru/credit/gubzi_docs/st22_09.pdf" TargetMode="External"/><Relationship Id="rId28" Type="http://schemas.openxmlformats.org/officeDocument/2006/relationships/hyperlink" Target="http://www.consultant.ru/law/hotdocs/19153.html" TargetMode="External"/><Relationship Id="rId10" Type="http://schemas.openxmlformats.org/officeDocument/2006/relationships/hyperlink" Target="http://compress.ru/article.aspx?id=18749" TargetMode="External"/><Relationship Id="rId19" Type="http://schemas.openxmlformats.org/officeDocument/2006/relationships/hyperlink" Target="http://www.cbr.ru/credit/gubzi_docs/st11.pdf" TargetMode="External"/><Relationship Id="rId31" Type="http://schemas.openxmlformats.org/officeDocument/2006/relationships/hyperlink" Target="http://www.cbr.ru/PSystem/P-sys/2831-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0225/" TargetMode="External"/><Relationship Id="rId14" Type="http://schemas.openxmlformats.org/officeDocument/2006/relationships/hyperlink" Target="http://www.consultant.ru/document/cons_doc_LAW_158430/" TargetMode="External"/><Relationship Id="rId22" Type="http://schemas.openxmlformats.org/officeDocument/2006/relationships/hyperlink" Target="http://www.cbr.ru/credit/gubzi_docs/st21.pdf" TargetMode="External"/><Relationship Id="rId27" Type="http://schemas.openxmlformats.org/officeDocument/2006/relationships/hyperlink" Target="https://ru.wikipedia.org/wiki/%D0%90%D0%B2%D1%82%D0%BE%D0%BC%D0%B0%D1%82%D0%B8%D0%B7%D0%B8%D1%80%D0%BE%D0%B2%D0%B0%D0%BD%D0%BD%D0%B0%D1%8F_%D0%B1%D0%B0%D0%BD%D0%BA%D0%BE%D0%B2%D1%81%D0%BA%D0%B0%D1%8F_%D1%81%D0%B8%D1%81%D1%82%D0%B5%D0%BC%D0%B0" TargetMode="External"/><Relationship Id="rId30" Type="http://schemas.openxmlformats.org/officeDocument/2006/relationships/hyperlink" Target="https://www.pcisecuritystandard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4542</Words>
  <Characters>25892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2018-01-16T17:52:00Z</cp:lastPrinted>
  <dcterms:created xsi:type="dcterms:W3CDTF">2018-01-13T18:48:00Z</dcterms:created>
  <dcterms:modified xsi:type="dcterms:W3CDTF">2018-01-16T17:52:00Z</dcterms:modified>
</cp:coreProperties>
</file>