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Сложные системы.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Понятие системы.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Система – комплекс взаимодействующих элементов. ИЛИ. Совокупность предметов, находящихся в определенном отношении с друг другом и окружающей средой. ИЛИ. Множество взаимодействующих элементов. ИЛИ. Порядок (план, классификация), по которому располагается группа понятий для образования единого стройного целого.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762500" cy="2724150"/>
            <wp:effectExtent b="0" l="0" r="0" t="0"/>
            <wp:docPr id="86" name="image181.png"/>
            <a:graphic>
              <a:graphicData uri="http://schemas.openxmlformats.org/drawingml/2006/picture">
                <pic:pic>
                  <pic:nvPicPr>
                    <pic:cNvPr id="0" name="image18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Понятие сложной системы.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порядок (план, классификация), по которому располагается группа понятий для образования единого стройного целого.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324350" cy="1844040"/>
            <wp:effectExtent b="0" l="0" r="0" t="0"/>
            <wp:docPr id="89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844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229100" cy="1352550"/>
            <wp:effectExtent b="0" l="0" r="0" t="0"/>
            <wp:docPr id="87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Элементы и подсистемы.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Элементом системы S назовём некоторый объект, обладающий рядом свойств, обеспечивающих выполнение некоторых функций, внутреннее строение и содержание которых не представляет интереса для исследователя.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Можно ввести обозначения, определяющие иерархию частей системы (подсистема и так далее).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Подсистема = система?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и информация.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173220" cy="1465580"/>
            <wp:effectExtent b="0" l="0" r="0" t="0"/>
            <wp:docPr id="92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1465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Благодаря постоянным потокам информации (от системы к окружающей среде и наоборот) система осуществляет целесообразное взаимодействие с окружающей средой, т.е. управляет или бывает управляема. Информация стала средством не только производства, но и управления.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в системе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внутренняя функция системы, осуществляемая независимо от того, каким образом, какими элементами системы она должна выполняться.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системой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выполнение внешних функций управления, обеспечивающих необходимые условия функционирования системы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Суть задачи управления системой - отделение ценной информации от "шумов" (бесполезного, иногда даже вредного для системы возмущения информации) и выделение информации, которая позволяет этой системе существовать и развиваться. Управление любой системой (в любой системе) должно подкрепляться необходимыми ресурсами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Случайные факторы.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4981575" cy="1771650"/>
            <wp:effectExtent b="0" l="0" r="0" t="0"/>
            <wp:docPr id="91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Основные принципы системного анализа.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 Принцип конечной цели.</w:t>
      </w:r>
      <w:r w:rsidDel="00000000" w:rsidR="00000000" w:rsidRPr="00000000">
        <w:rPr>
          <w:sz w:val="24"/>
          <w:szCs w:val="24"/>
          <w:rtl w:val="0"/>
        </w:rPr>
        <w:t xml:space="preserve"> Это абсолютный приоритет конечной (глобальной) цели. Принцип имеет несколько правил: - для проведения системного анализа необходимо в первую очередь сформулировать цель исследования. Расплывчатые, не полностью определенные цели влекут за собой неверные выводы; - цель функционирования искусственной системы задается, как правило, системой, в которой исследуемая система является составной частью, что позволит определить ее основные существенные свойства, показатели качества и критерии оценки; - при синтезе систем любая попытка изменения или совершенствования системы должна оцениваться относительно того, помогает или мешает она достижению конечной цели.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2 Принцип измерения.</w:t>
      </w:r>
      <w:r w:rsidDel="00000000" w:rsidR="00000000" w:rsidRPr="00000000">
        <w:rPr>
          <w:sz w:val="24"/>
          <w:szCs w:val="24"/>
          <w:rtl w:val="0"/>
        </w:rPr>
        <w:t xml:space="preserve"> О качестве функционирования какой-либо системы можно судить только применительно к системе более высокого порядка. Другими словами, для определения эффективности функционирования системы надо представить ее как часть более общей и проводить оценку внешних свойств исследуемой системы относительно целей и задач суперсистемы.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 Принцип устойчивости (эквифинальности)</w:t>
      </w:r>
      <w:r w:rsidDel="00000000" w:rsidR="00000000" w:rsidRPr="00000000">
        <w:rPr>
          <w:sz w:val="24"/>
          <w:szCs w:val="24"/>
          <w:rtl w:val="0"/>
        </w:rPr>
        <w:t xml:space="preserve">. Система может достигнуть требуемого конечного состояния, не зависящего от времени и определяемого исключительно собственными характеристиками системы при различных начальных условиях и различными путями. Это форма устойчивости по отношению к начальным и граничным условиям.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4 Принцип единства.</w:t>
      </w:r>
      <w:r w:rsidDel="00000000" w:rsidR="00000000" w:rsidRPr="00000000">
        <w:rPr>
          <w:sz w:val="24"/>
          <w:szCs w:val="24"/>
          <w:rtl w:val="0"/>
        </w:rPr>
        <w:t xml:space="preserve"> Это совместное рассмотрение системы как целого и как совокупности частей (элементов). Принцип ориентирован на декомпозицию с сохранением целостных представлений о системе.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5 Принцип связности.</w:t>
      </w:r>
      <w:r w:rsidDel="00000000" w:rsidR="00000000" w:rsidRPr="00000000">
        <w:rPr>
          <w:sz w:val="24"/>
          <w:szCs w:val="24"/>
          <w:rtl w:val="0"/>
        </w:rPr>
        <w:t xml:space="preserve"> Рассмотрение любой части совместно с ее окружением подразумевает проведение процедуры выявления связей между элементами системы и выявление связей с внешней средой (учет внешней среды). В соответствии с этим принципом систему в первую очередь следует рассматривать как часть (элемент, подсистему) другой системы, называемой суперсистемой или старшей системой.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6 Принцип модульного построения.</w:t>
      </w:r>
      <w:r w:rsidDel="00000000" w:rsidR="00000000" w:rsidRPr="00000000">
        <w:rPr>
          <w:sz w:val="24"/>
          <w:szCs w:val="24"/>
          <w:rtl w:val="0"/>
        </w:rPr>
        <w:t xml:space="preserve"> Полезно выделение модулей в системе и рассмотрение ее как совокупности модулей. Принцип указывает на возможность вместо части системы исследовать совокупность ее входных и выходных воздействий (абстрагирование от излишней детализации).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 Принцип иерархии.</w:t>
      </w:r>
      <w:r w:rsidDel="00000000" w:rsidR="00000000" w:rsidRPr="00000000">
        <w:rPr>
          <w:sz w:val="24"/>
          <w:szCs w:val="24"/>
          <w:rtl w:val="0"/>
        </w:rPr>
        <w:t xml:space="preserve"> Полезно введение иерархии частей и их ранжирование, что упрощает разработку системы и устанавливает порядок рассмотрения частей.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8 Принцип функциональности.</w:t>
      </w:r>
      <w:r w:rsidDel="00000000" w:rsidR="00000000" w:rsidRPr="00000000">
        <w:rPr>
          <w:sz w:val="24"/>
          <w:szCs w:val="24"/>
          <w:rtl w:val="0"/>
        </w:rPr>
        <w:t xml:space="preserve"> Это совместное рассмотрение структуры и функции с приоритетом функции над структурой. Принцип утверждает, что любая структура тесно связана с функцией системы и ее частей. В случае придания системе новых функций полезно пересматривать ее структуру, а не пытаться втиснуть новую функцию в старую схему. Поскольку выполняемые функции составляют процессы, то целесообразно рассматривать отдельно процессы, функции, структуры. В свою очередь, процессы сводятся к анализу потоков различных видов: - материальный поток; - поток энергии; - поток информации; - смена состояний. С этой точки зрения структура есть множество ограничений на потоки в пространстве и во времени.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9 Принцип развития.</w:t>
      </w:r>
      <w:r w:rsidDel="00000000" w:rsidR="00000000" w:rsidRPr="00000000">
        <w:rPr>
          <w:sz w:val="24"/>
          <w:szCs w:val="24"/>
          <w:rtl w:val="0"/>
        </w:rPr>
        <w:t xml:space="preserve"> Это учет изменяемости системы, ее способности к развитию, адаптации, расширению, замене частей, накоплению информации. В основу синтезируемой системы требуется закладывать возможность развития, наращивания, усовершенствования. Обычно расширение функций предусматривается за счет обеспечения возможности включения новых модулей, совместимых с уже имеющимися. С другой стороны, при анализе принцип развития ориентирует на необходимость учета предыстории развития системы и тенденций, имеющихся в настоящее время, для вскрытия закономерностей ее функционирования. Одним из способов учета этого принципа разработчиками является рассмотрение системы относительно ее жизненного цикла. Условными фазами жизненного цикла ИС являются проектирование, изготовление, ввод в эксплуатацию, эксплуатация, наращивание возможностей (модернизация), вывод из эксплуатации (замена), уничтожение. Отдельные авторы этот принцип называют принципом изменения (историчности) или открытости. Для того чтобы система функционировала, она должна изменяться, взаимодействовать со средой.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10 Принцип децентрализации.</w:t>
      </w:r>
      <w:r w:rsidDel="00000000" w:rsidR="00000000" w:rsidRPr="00000000">
        <w:rPr>
          <w:sz w:val="24"/>
          <w:szCs w:val="24"/>
          <w:rtl w:val="0"/>
        </w:rPr>
        <w:t xml:space="preserve"> Это сочетание в сложных системах централизованного и децентрализованного управления, которое, как правило, заключается в том, что степень централизации должна быть минимальной, обеспечивающей выполнение поставленной цели. Недостаток децентрализованного управления - увеличение времени адаптации системы. Он существенно влияет на функционирование системы в быстро меняющихся средах. То, что в централизованных системах можно сделать за короткое время, в децентрализованной системе будет осуществляться весьма медленно. Например, общее время синхронизации (перевода из состояния 1 z в 2 z ) цепи из N автоматов с n внутренними состояниями, зависящими от состояний соседних автоматов, при централизованном управлении составляет 1 такт, а для взаимодействующих только с непосредственными соседями составляет  3N такта, в зависимости от сложности автоматов. Недостатком централизованного управления является сложность управления из-за огромного потока информации, подлежащей переработке в старшей системе управления. Поэтому в сложной системе обычно присутствуют два уровня управления. В медленно меняющейся обстановке децентрализованная часть системы успешно справляется с адаптацией поведения системы к среде и с достижением глобальной цели системы за счет оперативного управления, а при резких изменениях среды осуществляется централизованное управление по переводу системы в новое состояние.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11 Принцип неопределенности.</w:t>
      </w:r>
      <w:r w:rsidDel="00000000" w:rsidR="00000000" w:rsidRPr="00000000">
        <w:rPr>
          <w:sz w:val="24"/>
          <w:szCs w:val="24"/>
          <w:rtl w:val="0"/>
        </w:rPr>
        <w:t xml:space="preserve"> Это учет неопределенностей и случайностей в системе. Принцип утверждает, что можно иметь дело с системой, в которой структура, функционирование или внешние воздействия не полностью определены.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Проблемы моделирования.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Проблема моделирования состоит из трех задач: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- построение модели (эта задача менее формализуема и конструктивна, в том смысле, что нет алгоритма для построения моделей);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Roboto" w:cs="Roboto" w:eastAsia="Roboto" w:hAnsi="Roboto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- исследование модели (эта задача более формализуема, имеются методы исследования различных классов моделей);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- использование модели (конструктивная и конкретизируемая задача).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Моделирование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Моделирование - основной метод системного анализа. 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системном анализе моделирование рассматривается как основной метод научного познания, связанный с совершенствованием способов получения и фиксации информации об изучаемых объектах, а также с приобретением новых знаний на основе модельных экспериментов. Сегодня большинство моделей разрабатывается с использованием компьютерной техники и компьютерных технологий, такие модели разрабатываться с помощью программ или сами могут выступать в качестве программы.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построении модели исследователь всегда исходит из поставленных целей, учитывает только наиболее существенные для их достижения факторы. Поэтому </w:t>
      </w:r>
      <w:r w:rsidDel="00000000" w:rsidR="00000000" w:rsidRPr="00000000">
        <w:rPr>
          <w:b w:val="1"/>
          <w:sz w:val="24"/>
          <w:szCs w:val="24"/>
          <w:rtl w:val="0"/>
        </w:rPr>
        <w:t xml:space="preserve">любая модель нетождественна объекту-оригиналу</w:t>
      </w:r>
      <w:r w:rsidDel="00000000" w:rsidR="00000000" w:rsidRPr="00000000">
        <w:rPr>
          <w:sz w:val="24"/>
          <w:szCs w:val="24"/>
          <w:rtl w:val="0"/>
        </w:rPr>
        <w:t xml:space="preserve"> и, следовательно, неполна, поскольку при ее построении исследователь учитывал лишь важнейшие с его точки зрения факторы.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Одной из проблем, с которой сталкиваются почти всегда при проведении системного анализа, является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проблема эксперимента </w:t>
      </w:r>
      <w:r w:rsidDel="00000000" w:rsidR="00000000" w:rsidRPr="00000000">
        <w:rPr>
          <w:sz w:val="24"/>
          <w:szCs w:val="24"/>
          <w:rtl w:val="0"/>
        </w:rPr>
        <w:t xml:space="preserve">в системе или над системой. Очень редко это разрешено моральными законами или законами безопасности, но сплошь и рядом связано с материальными затратами и (или) значительными потерями информации.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Опыт всей человеческой деятельности учит — в таких ситуациях надо экспериментировать не над объектом, интересующим нас предметом или системой, а над их </w:t>
      </w:r>
      <w:r w:rsidDel="00000000" w:rsidR="00000000" w:rsidRPr="00000000">
        <w:rPr>
          <w:b w:val="1"/>
          <w:sz w:val="24"/>
          <w:szCs w:val="24"/>
          <w:rtl w:val="0"/>
        </w:rPr>
        <w:t xml:space="preserve">моделями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приходится прибегать к методу “черного ящика”, предполагая некоторую статистическую связь между его входом и выходом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Понятие моделирования.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00600" cy="1333500"/>
            <wp:effectExtent b="0" l="0" r="0" t="0"/>
            <wp:docPr id="61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Модель системы.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sz w:val="21"/>
          <w:szCs w:val="21"/>
          <w:highlight w:val="white"/>
        </w:rPr>
      </w:pPr>
      <w:hyperlink r:id="rId12">
        <w:r w:rsidDel="00000000" w:rsidR="00000000" w:rsidRPr="00000000">
          <w:rPr>
            <w:rFonts w:ascii="Arial" w:cs="Arial" w:eastAsia="Arial" w:hAnsi="Arial"/>
            <w:b w:val="1"/>
            <w:color w:val="5f5db7"/>
            <w:sz w:val="21"/>
            <w:szCs w:val="21"/>
            <w:highlight w:val="white"/>
            <w:u w:val="single"/>
            <w:rtl w:val="0"/>
          </w:rPr>
          <w:t xml:space="preserve">МОДЕЛЬ СИСТЕМЫ</w:t>
        </w:r>
      </w:hyperlink>
      <w:r w:rsidDel="00000000" w:rsidR="00000000" w:rsidRPr="00000000">
        <w:rPr>
          <w:rFonts w:ascii="Arial" w:cs="Arial" w:eastAsia="Arial" w:hAnsi="Arial"/>
          <w:sz w:val="21"/>
          <w:szCs w:val="21"/>
          <w:highlight w:val="white"/>
          <w:rtl w:val="0"/>
        </w:rPr>
        <w:t xml:space="preserve"> — математический или физический аналог реальной системы, в котором характер протекания основных процессов подобен протеканию таких же процессов в реальной системе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rFonts w:ascii="Arial" w:cs="Arial" w:eastAsia="Arial" w:hAnsi="Arial"/>
          <w:sz w:val="21"/>
          <w:szCs w:val="21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Модель – некоторый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адекватный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заменитель исходного процесса или объекта. Всегда отражаются те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свойства и характеристики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которые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интересны для исследования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Классификация моделей. Классификация моделирования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Способы классификация моделей: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-по выполняемым функциям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-по типам целей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-по способам воплощения моделей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-по природе моделей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-по типам моделей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 выполняемым функциям: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-заместительная модель: оригинальная модель замещается моделью при каком-то исследовании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-отражательная:модель отражает какие-то свойства оригинала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 типам целей: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-познавательные - формы представления знаний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-прагматические - средства управления или организации практических действий, способ представления образцово правильных действий или их результата.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-статические - не меняются во времени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-динамические - интересен процесс изменения оригинала во времени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По способам воплощения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-абстрактные - создаем абстракцию “в голове”. Воплощаем средствами языка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-материальные - “то что можем потрогать”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95850" cy="2695575"/>
            <wp:effectExtent b="0" l="0" r="0" t="0"/>
            <wp:docPr id="80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95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14925" cy="2790825"/>
            <wp:effectExtent b="0" l="0" r="0" t="0"/>
            <wp:docPr id="14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790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05375" cy="1314450"/>
            <wp:effectExtent b="0" l="0" r="0" t="0"/>
            <wp:docPr id="56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314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64562" cy="3271838"/>
            <wp:effectExtent b="0" l="0" r="0" t="0"/>
            <wp:docPr id="73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4562" cy="3271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598432" cy="2709863"/>
            <wp:effectExtent b="0" l="0" r="0" t="0"/>
            <wp:docPr id="90" name="image187.png"/>
            <a:graphic>
              <a:graphicData uri="http://schemas.openxmlformats.org/drawingml/2006/picture">
                <pic:pic>
                  <pic:nvPicPr>
                    <pic:cNvPr id="0" name="image18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8432" cy="2709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72175" cy="3700463"/>
            <wp:effectExtent b="0" l="0" r="0" t="0"/>
            <wp:docPr id="21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2175" cy="3700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ind w:firstLine="720"/>
        <w:contextualSpacing w:val="0"/>
        <w:jc w:val="both"/>
        <w:rPr>
          <w:vertAlign w:val="baseline"/>
        </w:rPr>
      </w:pPr>
      <w:bookmarkStart w:colFirst="0" w:colLast="0" w:name="_98np6posem7" w:id="0"/>
      <w:bookmarkEnd w:id="0"/>
      <w:r w:rsidDel="00000000" w:rsidR="00000000" w:rsidRPr="00000000">
        <w:rPr>
          <w:b w:val="1"/>
          <w:vertAlign w:val="baseline"/>
          <w:rtl w:val="0"/>
        </w:rPr>
        <w:t xml:space="preserve">Построение математических моделей сложных систем</w:t>
      </w:r>
      <w:r w:rsidDel="00000000" w:rsidR="00000000" w:rsidRPr="00000000">
        <w:rPr>
          <w:vertAlign w:val="baseline"/>
          <w:rtl w:val="0"/>
        </w:rPr>
        <w:t xml:space="preserve">. 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Математическая модель—это приближенное описание какого -либо класса явлений внешнего мира, выраженное с помощью математической символики.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Построение математической модели системы S начинается с определения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параметров и переменных,</w:t>
      </w:r>
      <w:r w:rsidDel="00000000" w:rsidR="00000000" w:rsidRPr="00000000">
        <w:rPr>
          <w:sz w:val="24"/>
          <w:szCs w:val="24"/>
          <w:rtl w:val="0"/>
        </w:rPr>
        <w:t xml:space="preserve"> характеризующих процесс функционирования системы.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61598" cy="926441"/>
            <wp:effectExtent b="0" l="0" r="0" t="0"/>
            <wp:docPr id="49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1598" cy="9264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56823" cy="2066490"/>
            <wp:effectExtent b="0" l="0" r="0" t="0"/>
            <wp:docPr id="39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6823" cy="20664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37773" cy="3366588"/>
            <wp:effectExtent b="0" l="0" r="0" t="0"/>
            <wp:docPr id="1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7773" cy="336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52098" cy="2221464"/>
            <wp:effectExtent b="0" l="0" r="0" t="0"/>
            <wp:docPr id="74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2098" cy="2221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1905000"/>
            <wp:effectExtent b="0" l="0" r="0" t="0"/>
            <wp:docPr id="37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1733550"/>
            <wp:effectExtent b="0" l="0" r="0" t="0"/>
            <wp:docPr id="57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1866900"/>
            <wp:effectExtent b="0" l="0" r="0" t="0"/>
            <wp:docPr id="60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914400"/>
            <wp:effectExtent b="0" l="0" r="0" t="0"/>
            <wp:docPr id="3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752850" cy="1838325"/>
            <wp:effectExtent b="0" l="0" r="0" t="0"/>
            <wp:docPr id="23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3314700"/>
            <wp:effectExtent b="0" l="0" r="0" t="0"/>
            <wp:docPr id="52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Требования, предъявляемые к моделям, свойства моделей.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Каждая модель обладает: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Некоторыми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свойствами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целенаправленность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упрощенность </w:t>
      </w:r>
      <w:r w:rsidDel="00000000" w:rsidR="00000000" w:rsidRPr="00000000">
        <w:rPr>
          <w:sz w:val="24"/>
          <w:szCs w:val="24"/>
          <w:rtl w:val="0"/>
        </w:rPr>
        <w:t xml:space="preserve">-&gt; предварительный </w:t>
      </w:r>
      <w:r w:rsidDel="00000000" w:rsidR="00000000" w:rsidRPr="00000000">
        <w:rPr>
          <w:sz w:val="24"/>
          <w:szCs w:val="24"/>
          <w:rtl w:val="0"/>
        </w:rPr>
        <w:t xml:space="preserve">анализ предметной области -&gt; приближенность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конечность (на каком то этапе ограничим модель)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highlight w:val="yellow"/>
          <w:rtl w:val="0"/>
        </w:rPr>
        <w:t xml:space="preserve">­</w:t>
      </w:r>
      <w:r w:rsidDel="00000000" w:rsidR="00000000" w:rsidRPr="00000000">
        <w:rPr>
          <w:sz w:val="14"/>
          <w:szCs w:val="14"/>
          <w:highlight w:val="yellow"/>
          <w:rtl w:val="0"/>
        </w:rPr>
        <w:t xml:space="preserve">  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адекватность </w:t>
      </w:r>
      <w:r w:rsidDel="00000000" w:rsidR="00000000" w:rsidRPr="00000000">
        <w:rPr>
          <w:sz w:val="24"/>
          <w:szCs w:val="24"/>
          <w:rtl w:val="0"/>
        </w:rPr>
        <w:t xml:space="preserve">(свойство, при котором достигается успешно цель; адекватность модели это совпадение свойств, функций, параметров моделируемому объекту)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При построении моделей, необходимо, чтобы модель удовлетворяла некоторым </w:t>
      </w:r>
      <w:r w:rsidDel="00000000" w:rsidR="00000000" w:rsidRPr="00000000">
        <w:rPr>
          <w:b w:val="1"/>
          <w:sz w:val="24"/>
          <w:szCs w:val="24"/>
          <w:rtl w:val="0"/>
        </w:rPr>
        <w:t xml:space="preserve">требованиям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2.1 </w:t>
      </w:r>
      <w:r w:rsidDel="00000000" w:rsidR="00000000" w:rsidRPr="00000000">
        <w:rPr>
          <w:sz w:val="24"/>
          <w:szCs w:val="24"/>
          <w:rtl w:val="0"/>
        </w:rPr>
        <w:t xml:space="preserve">адекватность (сами устанавливаем, в каком случае модель адекватна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с заданной точностью</w:t>
      </w:r>
      <w:r w:rsidDel="00000000" w:rsidR="00000000" w:rsidRPr="00000000">
        <w:rPr>
          <w:sz w:val="24"/>
          <w:szCs w:val="24"/>
          <w:rtl w:val="0"/>
        </w:rPr>
        <w:t xml:space="preserve">; методы: мы можем делать по средним значениям, по дисперсиям отклонений от среднего значения; не знаем до конца как работает оригинал - </w:t>
      </w:r>
      <w:r w:rsidDel="00000000" w:rsidR="00000000" w:rsidRPr="00000000">
        <w:rPr>
          <w:sz w:val="24"/>
          <w:szCs w:val="24"/>
          <w:highlight w:val="yellow"/>
          <w:rtl w:val="0"/>
        </w:rPr>
        <w:t xml:space="preserve">допущения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>
      <w:pPr>
        <w:spacing w:line="276" w:lineRule="auto"/>
        <w:ind w:left="0" w:firstLine="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2.2  </w:t>
      </w:r>
      <w:r w:rsidDel="00000000" w:rsidR="00000000" w:rsidRPr="00000000">
        <w:rPr>
          <w:sz w:val="24"/>
          <w:szCs w:val="24"/>
          <w:rtl w:val="0"/>
        </w:rPr>
        <w:t xml:space="preserve">эффективность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2.3 адаптивность</w:t>
      </w:r>
    </w:p>
    <w:p w:rsidR="00000000" w:rsidDel="00000000" w:rsidP="00000000" w:rsidRDefault="00000000" w:rsidRPr="00000000">
      <w:pPr>
        <w:pStyle w:val="Heading2"/>
        <w:keepNext w:val="0"/>
        <w:keepLines w:val="0"/>
        <w:ind w:firstLine="720"/>
        <w:contextualSpacing w:val="0"/>
        <w:jc w:val="both"/>
        <w:rPr>
          <w:sz w:val="24"/>
          <w:szCs w:val="24"/>
        </w:rPr>
      </w:pPr>
      <w:bookmarkStart w:colFirst="0" w:colLast="0" w:name="_ck7awvdb63zk" w:id="1"/>
      <w:bookmarkEnd w:id="1"/>
      <w:r w:rsidDel="00000000" w:rsidR="00000000" w:rsidRPr="00000000">
        <w:rPr>
          <w:sz w:val="24"/>
          <w:szCs w:val="24"/>
          <w:rtl w:val="0"/>
        </w:rPr>
        <w:t xml:space="preserve">1.1 Свойства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проверки модели нужно провести ИМИТАЦИОННОЕ МОДЕЛИРОВАНИЕ (ИМ) (оригинал заменяется имитационной моделью; метод, позволяющий строить модели, описывающие некоторые процессы). ИМ – частный случай математического моделирования (часто).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Имитационная модель может быть адекватна в том случае, если она является точным представлением системы для решения поставленной цели исследования и можно сказать, что существуют процесс </w:t>
      </w:r>
      <w:r w:rsidDel="00000000" w:rsidR="00000000" w:rsidRPr="00000000">
        <w:rPr>
          <w:b w:val="1"/>
          <w:sz w:val="24"/>
          <w:szCs w:val="24"/>
          <w:rtl w:val="0"/>
        </w:rPr>
        <w:t xml:space="preserve">валидации</w:t>
      </w:r>
      <w:r w:rsidDel="00000000" w:rsidR="00000000" w:rsidRPr="00000000">
        <w:rPr>
          <w:sz w:val="24"/>
          <w:szCs w:val="24"/>
          <w:rtl w:val="0"/>
        </w:rPr>
        <w:t xml:space="preserve"> и при работе с адекватностью - </w:t>
      </w:r>
      <w:r w:rsidDel="00000000" w:rsidR="00000000" w:rsidRPr="00000000">
        <w:rPr>
          <w:b w:val="1"/>
          <w:sz w:val="24"/>
          <w:szCs w:val="24"/>
          <w:rtl w:val="0"/>
        </w:rPr>
        <w:t xml:space="preserve">верификация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Как правило, процесс адекватности модели разбивается на ряд этапов:Валидация – правильный, соответствующий; цельность показывает; скажет, все ли учли; полнота исследований.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62550" cy="4076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Верификация – ISO 12207 (раздел 6.4 «Верификация»), проверка процесса получения программной модели. Этапы верификации: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контракта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процесса проектирования (требования, процессы, стандарты, наличие людей)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требований (программирование (схема выше))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проекта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программ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интеграции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документации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Процесс программирования всегда документируется и проходит внутреннюю верификацию.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Во-первых: оценить, насколько полученная модель лучше/хуже предыдущей.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Во-вторых: проверить модель.</w:t>
      </w:r>
    </w:p>
    <w:p w:rsidR="00000000" w:rsidDel="00000000" w:rsidP="00000000" w:rsidRDefault="00000000" w:rsidRPr="00000000">
      <w:pPr>
        <w:pStyle w:val="Heading2"/>
        <w:keepNext w:val="0"/>
        <w:keepLines w:val="0"/>
        <w:ind w:firstLine="720"/>
        <w:contextualSpacing w:val="0"/>
        <w:jc w:val="both"/>
        <w:rPr>
          <w:sz w:val="24"/>
          <w:szCs w:val="24"/>
        </w:rPr>
      </w:pPr>
      <w:bookmarkStart w:colFirst="0" w:colLast="0" w:name="_chz9ih4xu09u" w:id="2"/>
      <w:bookmarkEnd w:id="2"/>
      <w:r w:rsidDel="00000000" w:rsidR="00000000" w:rsidRPr="00000000">
        <w:rPr>
          <w:sz w:val="24"/>
          <w:szCs w:val="24"/>
          <w:rtl w:val="0"/>
        </w:rPr>
        <w:t xml:space="preserve">1.2 Требования модели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Методы проверки (адекватности) модели: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Прямой</w:t>
      </w:r>
      <w:r w:rsidDel="00000000" w:rsidR="00000000" w:rsidRPr="00000000">
        <w:rPr>
          <w:sz w:val="24"/>
          <w:szCs w:val="24"/>
          <w:rtl w:val="0"/>
        </w:rPr>
        <w:t xml:space="preserve"> (предполагает натурный эксперимент, который позволяет получить истинные значения показателей)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Косвенный</w:t>
      </w:r>
      <w:r w:rsidDel="00000000" w:rsidR="00000000" w:rsidRPr="00000000">
        <w:rPr>
          <w:sz w:val="24"/>
          <w:szCs w:val="24"/>
          <w:rtl w:val="0"/>
        </w:rPr>
        <w:t xml:space="preserve"> (не направлены на доказательство адекватности, а направлены на то, что модель не противоречит выдвинутым утверждениям):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асимптотическая проверка (проверка на граничных условиях, входных параметров)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метод сводимости результатов к уже известным моделям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проверка согласованности результатов моделирования с результатами, которые получили другие исследователи с использованием других методов.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Следующее требование – АДАПТИВНОСТЬ (модель должна приспосабливаться к изменениям). Универсальность (должна применятся к группе однотипных объектов, а не к одному)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ЭФФЕКТИВНОСТЬ (модель должна требовать приемлемое время решения, приемлемый объем памяти, приемлемое количество ресурсов для ее построения, не должна быть дороже оригинала, результаты работы должны появляться тогда, когда они нужны, а не после).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Требования к точности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Требования к сложности модели (простая, сложная).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Классификация математических моделей.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57750" cy="3143250"/>
            <wp:effectExtent b="0" l="0" r="0" t="0"/>
            <wp:docPr id="36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14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Содержательное описание сложной системы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https://studfiles.net/preview/5375631/page:20/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Наиболее важным этапом построения модели сложной системы является этап содержательного описания объекта моделирования. Ра­бота на данном этапе построения модели сложной системы начинается с анализа постановки задачи. В качестве исходной информации при по­строении модели сложной системы используется сформулированная цель системного исследования. Совокупность сведений об объекте моделирования представляется в виде схем, текстов, таблиц экспери­ментальных данных, характеризующих анализируемую структуру и ха­рактер функционирования системы. Кроме того, при составлении моде­ли должна учитываться информация о внешних воздействиях и пара­метрах окружающей среды.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На начальном этапе построения модели системы необходимо четко определить цель будущего исследования на модели, а затем в соответ­ствии с этой целью переработать весь объем исходной информации и постараться восполнить недостающую информацию. Этот процесс на­зывается составлением содержательного описания сложной системы. Рекомендуется следующая последовательность действий при состав­лении содержательного описания сложной системы: выбор показателей качества, отражающих цели моделирования; определение управляющих переменных, выбор состава контролируемых характеристик объекта моделирования; детализация описания режимов функционирования си­стемы; представление информации о воздействии внешней среды.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52800" cy="542925"/>
            <wp:effectExtent b="0" l="0" r="0" t="0"/>
            <wp:docPr id="1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Построение формализованной схемы (формализация).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http://edu.alnam.ru/book_msm.php?id=12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38625" cy="1628775"/>
            <wp:effectExtent b="0" l="0" r="0" t="0"/>
            <wp:docPr id="43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81500" cy="1362075"/>
            <wp:effectExtent b="0" l="0" r="0" t="0"/>
            <wp:docPr id="70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6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86275" cy="5829300"/>
            <wp:effectExtent b="0" l="0" r="0" t="0"/>
            <wp:docPr id="26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82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52925" cy="1828800"/>
            <wp:effectExtent b="0" l="0" r="0" t="0"/>
            <wp:docPr id="38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Переход к математической модели. 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33950" cy="3200400"/>
            <wp:effectExtent b="0" l="0" r="0" t="0"/>
            <wp:docPr id="19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Доказательство адекватности, достоверности модели.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Методы проверки (адекватности) модели: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Прямой</w:t>
      </w:r>
      <w:r w:rsidDel="00000000" w:rsidR="00000000" w:rsidRPr="00000000">
        <w:rPr>
          <w:sz w:val="24"/>
          <w:szCs w:val="24"/>
          <w:rtl w:val="0"/>
        </w:rPr>
        <w:t xml:space="preserve"> (предполагает натурный эксперимент, который позволяет получить истинные значения показателей)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Косвенный</w:t>
      </w:r>
      <w:r w:rsidDel="00000000" w:rsidR="00000000" w:rsidRPr="00000000">
        <w:rPr>
          <w:sz w:val="24"/>
          <w:szCs w:val="24"/>
          <w:rtl w:val="0"/>
        </w:rPr>
        <w:t xml:space="preserve"> (не направлены на доказательство адекватности, а направлены на то, что модель не противоречит выдвинутым утверждениям):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асимптотическая проверка (проверка на граничных условиях, входных параметров)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метод сводимости результатов к уже известным моделям</w:t>
      </w:r>
    </w:p>
    <w:p w:rsidR="00000000" w:rsidDel="00000000" w:rsidP="00000000" w:rsidRDefault="00000000" w:rsidRPr="00000000">
      <w:pPr>
        <w:spacing w:line="276" w:lineRule="auto"/>
        <w:ind w:left="1780" w:hanging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</w:t>
      </w:r>
      <w:r w:rsidDel="00000000" w:rsidR="00000000" w:rsidRPr="00000000">
        <w:rPr>
          <w:sz w:val="14"/>
          <w:szCs w:val="14"/>
          <w:rtl w:val="0"/>
        </w:rPr>
        <w:t xml:space="preserve">      </w:t>
      </w:r>
      <w:r w:rsidDel="00000000" w:rsidR="00000000" w:rsidRPr="00000000">
        <w:rPr>
          <w:sz w:val="24"/>
          <w:szCs w:val="24"/>
          <w:rtl w:val="0"/>
        </w:rPr>
        <w:t xml:space="preserve">проверка согласованности результатов моделирования с результатами, которые получили другие исследователи с использованием других методов.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Верификация, валидация, способы верификации и валидации.</w:t>
      </w:r>
    </w:p>
    <w:p w:rsidR="00000000" w:rsidDel="00000000" w:rsidP="00000000" w:rsidRDefault="00000000" w:rsidRPr="00000000">
      <w:pPr>
        <w:spacing w:line="276" w:lineRule="auto"/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162550" cy="4076700"/>
            <wp:effectExtent b="0" l="0" r="0" t="0"/>
            <wp:docPr id="83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Верификация – ISO 12207 (раздел 6.4 «Верификация»), проверка процесса получения программной модели. Этапы верификации: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контракта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процесса проектирования (требования, процессы, стандарты, наличие людей)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требований (программирование (схема выше))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проекта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5.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программ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6.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интеграции</w:t>
      </w:r>
    </w:p>
    <w:p w:rsidR="00000000" w:rsidDel="00000000" w:rsidP="00000000" w:rsidRDefault="00000000" w:rsidRPr="00000000">
      <w:pPr>
        <w:spacing w:line="276" w:lineRule="auto"/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7.</w:t>
      </w:r>
      <w:r w:rsidDel="00000000" w:rsidR="00000000" w:rsidRPr="00000000">
        <w:rPr>
          <w:sz w:val="14"/>
          <w:szCs w:val="14"/>
          <w:rtl w:val="0"/>
        </w:rPr>
        <w:t xml:space="preserve">  </w:t>
        <w:tab/>
      </w:r>
      <w:r w:rsidDel="00000000" w:rsidR="00000000" w:rsidRPr="00000000">
        <w:rPr>
          <w:sz w:val="24"/>
          <w:szCs w:val="24"/>
          <w:rtl w:val="0"/>
        </w:rPr>
        <w:t xml:space="preserve">Проверка документации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Процесс программирования всегда документируется и проходит внутреннюю верификацию.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Во-первых: оценить, насколько полученная модель лучше/хуже предыдущей.</w:t>
      </w:r>
    </w:p>
    <w:p w:rsidR="00000000" w:rsidDel="00000000" w:rsidP="00000000" w:rsidRDefault="00000000" w:rsidRPr="00000000">
      <w:pPr>
        <w:spacing w:line="276" w:lineRule="auto"/>
        <w:ind w:firstLine="70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Во-вторых: проверить модель.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Слово валидация (от английского validation) ближе всего к понятию аттестация, а по сути означает комплексную проверку изделия требованиям заказчика им же самим. Если собирали велосипед, то он будет валидирован после того, как на нем прокатятся представители заказчика и признают его удовлетворяющим своим «хотелкам».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Определение архитектуры АИС.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i w:val="1"/>
          <w:color w:val="555555"/>
          <w:sz w:val="24"/>
          <w:szCs w:val="24"/>
          <w:highlight w:val="white"/>
          <w:rtl w:val="0"/>
        </w:rPr>
        <w:t xml:space="preserve">Архитектурой АИС </w:t>
      </w:r>
      <w:r w:rsidDel="00000000" w:rsidR="00000000" w:rsidRPr="00000000">
        <w:rPr>
          <w:color w:val="555555"/>
          <w:sz w:val="24"/>
          <w:szCs w:val="24"/>
          <w:highlight w:val="white"/>
          <w:rtl w:val="0"/>
        </w:rPr>
        <w:t xml:space="preserve">называется распределение функций по ее подсистемам и компонентам, точное определение границ этих подсистем и их взаимодействие по управлению и данным, а также распределение хранения и исполнения этих подсистем и компонентов по различным ЭВМ, объединенным в локальную или глобальную вычислительную сеть.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Архитектура — это организационная структура автоматизированной системы. Известно и другое определение: архитектура — это концептуальное описание структуры системы, включающее описание элементов системы, их взаимо­действия и внешних свойств. Выделяют два уровня архитектуры АИС: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· бизнес-архитектуру (бизнес-уровень);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· уровень информационных технологий (технический уро­вень).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i w:val="1"/>
          <w:color w:val="424242"/>
          <w:sz w:val="21"/>
          <w:szCs w:val="21"/>
          <w:rtl w:val="0"/>
        </w:rPr>
        <w:t xml:space="preserve">Бизнес-архитектура</w:t>
      </w: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 обычно первична по отношению к тех­ническому уровню; может существовать и реализуема вне зави­симости от существования АИС. Бизнес-архитектура является предметной областью для анализа и проведения автоматизации. На бизнес-уровне определяется набор задач, требований, харак­теристик, осуществляемых с помощью АИС. Соответствие ука­занному уровню технического уровня является основой эффек­тивности функционирования АИС.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С другой стороны, новые возможности, предоставляемые ис­пользованием информационных технологий, стимулируют раз­витие и корректировку бизнес-архитектуры, в связи с чем она является неотъемлемой частью архитектуры АИС и всего пред­приятия.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i w:val="1"/>
          <w:color w:val="424242"/>
          <w:sz w:val="21"/>
          <w:szCs w:val="21"/>
          <w:rtl w:val="0"/>
        </w:rPr>
        <w:t xml:space="preserve">Уровень информационных технологий</w:t>
      </w: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 или технический уровень представляет собой интегрированный комплекс технических средств, используемых в АИС для реализации задач предпри­ятия, и включает в себя как логические, так и технические (про­граммные и аппаратные) компоненты. Компонентами этого уровня, в свою очередь, являются следующие подуровни: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архитектура программных систем;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информационная архитектура;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технологическая (инфраструктурная) архитектура.</w:t>
      </w:r>
    </w:p>
    <w:p w:rsidR="00000000" w:rsidDel="00000000" w:rsidP="00000000" w:rsidRDefault="00000000" w:rsidRPr="00000000">
      <w:pPr>
        <w:shd w:fill="ffffff" w:val="clear"/>
        <w:spacing w:after="160" w:before="160" w:lineRule="auto"/>
        <w:ind w:left="160" w:right="160" w:firstLine="0"/>
        <w:contextualSpacing w:val="0"/>
        <w:jc w:val="both"/>
        <w:rPr>
          <w:rFonts w:ascii="Verdana" w:cs="Verdana" w:eastAsia="Verdana" w:hAnsi="Verdana"/>
          <w:color w:val="424242"/>
          <w:sz w:val="21"/>
          <w:szCs w:val="21"/>
        </w:rPr>
      </w:pPr>
      <w:r w:rsidDel="00000000" w:rsidR="00000000" w:rsidRPr="00000000">
        <w:rPr>
          <w:rFonts w:ascii="Verdana" w:cs="Verdana" w:eastAsia="Verdana" w:hAnsi="Verdana"/>
          <w:i w:val="1"/>
          <w:color w:val="424242"/>
          <w:sz w:val="21"/>
          <w:szCs w:val="21"/>
          <w:rtl w:val="0"/>
        </w:rPr>
        <w:t xml:space="preserve">Информационная архитектура</w:t>
      </w:r>
      <w:r w:rsidDel="00000000" w:rsidR="00000000" w:rsidRPr="00000000">
        <w:rPr>
          <w:rFonts w:ascii="Verdana" w:cs="Verdana" w:eastAsia="Verdana" w:hAnsi="Verdana"/>
          <w:color w:val="424242"/>
          <w:sz w:val="21"/>
          <w:szCs w:val="21"/>
          <w:rtl w:val="0"/>
        </w:rPr>
        <w:t xml:space="preserve"> представляет собой логическую организацию данных, с которыми работает АИС, т. е. практиче­ски структуры баз данных и баз знаний, а также принципы их взаимодействия.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Методика построения модели.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любом случае перво наперво строим содержательную модель (для чего нужна модель, что входить будет, вообще куда понадобится)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шаг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Постановка задачи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Формулирование цели, требования модели, определение назначения модели, формулирование вопросов, на которые должна ответить система.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 шаг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Декомпозиция, выделяем объекты (элементы, подсистемы, которые являются функционирующими законченными частями)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 шаг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Моделирование. Взять все из прошлого шага и смоделировать.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Уточняем по переменным И/ИЛИ по времени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Получаем кибернетическую модель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Делаем структурную модель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 Шаг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структурную модель накладываем функц. модель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Проводим проектирование, испытание модели (на выявление нестыковок и так далее). Модернизируем (проводим верификацию и валидацию)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Методология SADT.</w:t>
      </w:r>
    </w:p>
    <w:p w:rsidR="00000000" w:rsidDel="00000000" w:rsidP="00000000" w:rsidRDefault="00000000" w:rsidRPr="00000000">
      <w:pPr>
        <w:ind w:left="360" w:firstLine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http://samara.mgpu.ru/~dzhadzha/dis/15/160.html</w:t>
      </w:r>
    </w:p>
    <w:p w:rsidR="00000000" w:rsidDel="00000000" w:rsidP="00000000" w:rsidRDefault="00000000" w:rsidRPr="00000000">
      <w:pPr>
        <w:ind w:left="360" w:firstLine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SADT – это методология, разработанная специально для того, чтобы облегчить описание и понимание искусственных систем, попадающих в разряд средней сложности. Военно-воздушные силы США использовали методику SADT в качестве части своей программы интеграции компьютерных и промышленных технологий (Integrated Computer Aided Manufacturing, ICAM) и назвали ее IDEF0 (Icam DEFinition). Целью программы ICAM было увеличение эффективности компьютерных технологий в сфере проектирования новых средств вооружений и ведения боевых действий. Одним из результатов этих исследований являлся вывод о том, что описательные языки не эффективны для документирования и моделирования процессов функционирования сложных систем. Подобные описания на естественном языке не обеспечивают требуемого уровня непротиворечивости и полноты, имеющих доминирующее значение при решении задач моделирования.</w:t>
      </w:r>
    </w:p>
    <w:p w:rsidR="00000000" w:rsidDel="00000000" w:rsidP="00000000" w:rsidRDefault="00000000" w:rsidRPr="00000000">
      <w:pPr>
        <w:ind w:left="360" w:firstLine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[Марка Д.А., МакГоун К. Методология структурного системного анализа и проектирования SADT:Пер. с англ. – С.: Метатехнология, 2003]</w:t>
      </w:r>
    </w:p>
    <w:p w:rsidR="00000000" w:rsidDel="00000000" w:rsidP="00000000" w:rsidRDefault="00000000" w:rsidRPr="00000000">
      <w:pPr>
        <w:ind w:left="360" w:firstLine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ind w:left="360" w:firstLine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рамках программы ICAM было разработано несколько графических языков моделирования, которые получили следующие названия: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Нотация IDEF0 - для документирования процессов производства и отображения информации об использовании ресурсов на каждом из этапов проектирования систем.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Нотация IDEF1 - для документирования информации о производственном окружении систем.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Нотация IDEF2 - для документирования поведения системы во времени.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Нотация IDEF3 - специально для моделирования бизнес-процессов.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72125" cy="1609725"/>
            <wp:effectExtent b="0" l="0" r="0" t="0"/>
            <wp:docPr id="54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Могут быть блоки:</w:t>
      </w:r>
    </w:p>
    <w:p w:rsidR="00000000" w:rsidDel="00000000" w:rsidP="00000000" w:rsidRDefault="00000000" w:rsidRPr="00000000">
      <w:pPr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Без входа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36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­</w:t>
      </w:r>
      <w:r w:rsidDel="00000000" w:rsidR="00000000" w:rsidRPr="00000000">
        <w:rPr>
          <w:sz w:val="14"/>
          <w:szCs w:val="1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Без механизмов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Методология IDEF-SADT представляет собой совокупность методов, правил и процедур, предназначенных для построения функциональной модели системы какой-либо предметной области. Функциональная модель SADT отображает структуру процессов функционирования системы и ее отдельных подсистем, т. е. выполняемые ими действия и связи между этими действиями. Для этой цели строятся специальные модели, которые позволяют в наглядной форме представить последовательность определенных действий. Исходными строительными блоками любой модели IDEF0 процесса являются деятельность (activity) и стрелки (arrows).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Рассмотрим кратко эти основные понятия методологии IDEF-SADT, которые используются при построении диаграмм функционального моделирования. Деятельность представляет собой некоторое действие или набор действий, которые имеют фиксированную цель и приводят к некоторому конечному результату. Иногда деятельность называют просто процессом. Модели IDEF0 отслеживают различные виды деятельности системы, их описание и взаимодействие с другими процессами. На диаграммах деятельность или процесс изображается прямоугольником, который называется блоком. Стрелка служит для обозначения некоторого носителя или воздействия, которые обеспечивают перенос данных или объектов от одной деятельности к другой. Стрелки также необходимы для описания того, что именно производит деятельность и какие ресурсы  она потребляет. Это так называемые роли стрелок - ICOM – сокращение первых букв от названий соответствующих стрелок IDEF0. При этом различают стрелки четырех видов (Рисунок 9):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(Input) – вход, т. е. все, что поступает в процесс или потребляется процессом.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(Control) – управление или ограничения на выполнение операций процесса.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 (Output) – выход или результат процесса.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 (Mechanism) – механизм, который используется для выполнения процесса.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Шкалы и шкалирование.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Arial" w:cs="Arial" w:eastAsia="Arial" w:hAnsi="Arial"/>
          <w:color w:val="000033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33"/>
          <w:sz w:val="24"/>
          <w:szCs w:val="24"/>
          <w:highlight w:val="white"/>
          <w:rtl w:val="0"/>
        </w:rPr>
        <w:t xml:space="preserve">Шкала</w:t>
      </w:r>
      <w:r w:rsidDel="00000000" w:rsidR="00000000" w:rsidRPr="00000000">
        <w:rPr>
          <w:rFonts w:ascii="Arial" w:cs="Arial" w:eastAsia="Arial" w:hAnsi="Arial"/>
          <w:color w:val="000033"/>
          <w:sz w:val="24"/>
          <w:szCs w:val="24"/>
          <w:highlight w:val="white"/>
          <w:rtl w:val="0"/>
        </w:rPr>
        <w:t xml:space="preserve"> — это множество чисел, отношения между которыми отражают отношения между объектами эмпирической системы.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color w:val="000033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33"/>
          <w:sz w:val="24"/>
          <w:szCs w:val="24"/>
          <w:highlight w:val="white"/>
          <w:rtl w:val="0"/>
        </w:rPr>
        <w:t xml:space="preserve">Номинальная шкала</w:t>
      </w:r>
      <w:r w:rsidDel="00000000" w:rsidR="00000000" w:rsidRPr="00000000">
        <w:rPr>
          <w:rFonts w:ascii="Arial" w:cs="Arial" w:eastAsia="Arial" w:hAnsi="Arial"/>
          <w:color w:val="000033"/>
          <w:sz w:val="24"/>
          <w:szCs w:val="24"/>
          <w:highlight w:val="white"/>
          <w:rtl w:val="0"/>
        </w:rPr>
        <w:t xml:space="preserve"> (или шкала наименований) отображает лишь отношение эквивалентности, посредством которого объекты группируются в отдельные непересекающиеся классы, причем номер класса фактически не имеет количественного содержания и м. б. заменен названием, шифром и т. д. Примером шкалы такого рода может служить нумерация игроков спортивных команд.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color w:val="000033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33"/>
          <w:sz w:val="24"/>
          <w:szCs w:val="24"/>
          <w:highlight w:val="white"/>
          <w:rtl w:val="0"/>
        </w:rPr>
        <w:t xml:space="preserve">Порядковая (или ранговая) шкала</w:t>
      </w:r>
      <w:r w:rsidDel="00000000" w:rsidR="00000000" w:rsidRPr="00000000">
        <w:rPr>
          <w:rFonts w:ascii="Arial" w:cs="Arial" w:eastAsia="Arial" w:hAnsi="Arial"/>
          <w:color w:val="000033"/>
          <w:sz w:val="24"/>
          <w:szCs w:val="24"/>
          <w:highlight w:val="white"/>
          <w:rtl w:val="0"/>
        </w:rPr>
        <w:t xml:space="preserve"> отображает, кроме отношения эквивалентности, еще и отношение порядка; допустимым для нее будет любое монотонное преобразование. Примеры: балльные оценки успеваемости в школе, шкала твердости минералов (шкала Мосса).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color w:val="000033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33"/>
          <w:sz w:val="24"/>
          <w:szCs w:val="24"/>
          <w:highlight w:val="white"/>
          <w:rtl w:val="0"/>
        </w:rPr>
        <w:t xml:space="preserve">Интервальная шкала</w:t>
      </w:r>
      <w:r w:rsidDel="00000000" w:rsidR="00000000" w:rsidRPr="00000000">
        <w:rPr>
          <w:rFonts w:ascii="Arial" w:cs="Arial" w:eastAsia="Arial" w:hAnsi="Arial"/>
          <w:color w:val="000033"/>
          <w:sz w:val="24"/>
          <w:szCs w:val="24"/>
          <w:highlight w:val="white"/>
          <w:rtl w:val="0"/>
        </w:rPr>
        <w:t xml:space="preserve">, помимо отношений, указанных для шкал наименований и порядка, отображает отношение расстояний (разностей) между парами объектов. Для нее допустимым является положительное линейное преобразование (изометрическое преобразование). Шкалы Цельсия и Фаренгейта, с помощью которых измеряется физическая температура, представляют примеры интервальных шкал. В психологии к таким шкалам относят шкалы измерения различных субъективных феноменов, полученные методом парных сравнений. См. также Аддитивная шкала.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rFonts w:ascii="Arial" w:cs="Arial" w:eastAsia="Arial" w:hAnsi="Arial"/>
          <w:color w:val="000033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000033"/>
          <w:sz w:val="24"/>
          <w:szCs w:val="24"/>
          <w:highlight w:val="white"/>
          <w:rtl w:val="0"/>
        </w:rPr>
        <w:t xml:space="preserve">Шкала отношений (пропорциональная шкала) </w:t>
      </w:r>
      <w:r w:rsidDel="00000000" w:rsidR="00000000" w:rsidRPr="00000000">
        <w:rPr>
          <w:rFonts w:ascii="Arial" w:cs="Arial" w:eastAsia="Arial" w:hAnsi="Arial"/>
          <w:color w:val="000033"/>
          <w:sz w:val="24"/>
          <w:szCs w:val="24"/>
          <w:highlight w:val="white"/>
          <w:rtl w:val="0"/>
        </w:rPr>
        <w:t xml:space="preserve">допускает лишь умножение шкальных значений на константу (преобразование подобия). В физике этому типу шкалы удовлетворяют многие процедуры измерения, напр., массы в кг, длины в м, температуры в град. Кельвина. Иногда в качестве синонима "шкалы отношений" используется термин "абсолютная шкала*, поскольку нулевая точка здесь не является произвольной и называется "абсолютным нулем". Однако термин "абсолютная шкала" имеет и более узкое значение, когда он применяется для обозначения шкалы, допускающей лишь тождественные преобразования и отображающей количество "неделимых" и "однородных" (дискретных) объектов, напр., количество жителей города N, число зубов, объем кратковременной памяти и т. д.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3b3b3b"/>
          <w:sz w:val="22"/>
          <w:szCs w:val="22"/>
          <w:highlight w:val="white"/>
          <w:rtl w:val="0"/>
        </w:rPr>
        <w:t xml:space="preserve">ШКАЛИРОВАНИЕ — метод моделирования реальных процессов с помощью числовых систем.</w:t>
      </w:r>
    </w:p>
    <w:p w:rsidR="00000000" w:rsidDel="00000000" w:rsidP="00000000" w:rsidRDefault="00000000" w:rsidRPr="00000000">
      <w:pPr>
        <w:shd w:fill="ffffff" w:val="clear"/>
        <w:spacing w:after="260" w:lineRule="auto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3b3b3b"/>
          <w:sz w:val="22"/>
          <w:szCs w:val="22"/>
          <w:highlight w:val="white"/>
          <w:rtl w:val="0"/>
        </w:rPr>
        <w:t xml:space="preserve"> Большинство социальных и психологических объектов невозможно строго фиксировать относительно места и времени их существования, отчего они не поддаются прямому измерению. Поэтому возникает вопрос о специфике числовой системы, могущей соотнестись с эмпирическими данными такого рода. Различные методы шкалирования как раз служат особыми приемами трансформации качественных характеристик в некую числовую переменную. Общий процесс шкалирования состоит в конструировании по определенным правилам самой шкалы и содержит два этапа:</w:t>
      </w:r>
    </w:p>
    <w:p w:rsidR="00000000" w:rsidDel="00000000" w:rsidP="00000000" w:rsidRDefault="00000000" w:rsidRPr="00000000">
      <w:pPr>
        <w:shd w:fill="ffffff" w:val="clear"/>
        <w:spacing w:after="260" w:lineRule="auto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3b3b3b"/>
          <w:sz w:val="22"/>
          <w:szCs w:val="22"/>
          <w:highlight w:val="white"/>
          <w:rtl w:val="0"/>
        </w:rPr>
        <w:t xml:space="preserve">1) на этапе сбора данных, создается эмпирическая система исследуемых объектов и фиксируются типы отношений между ними;</w:t>
      </w:r>
    </w:p>
    <w:p w:rsidR="00000000" w:rsidDel="00000000" w:rsidP="00000000" w:rsidRDefault="00000000" w:rsidRPr="00000000">
      <w:pPr>
        <w:shd w:fill="ffffff" w:val="clear"/>
        <w:spacing w:after="260" w:lineRule="auto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3b3b3b"/>
          <w:sz w:val="22"/>
          <w:szCs w:val="22"/>
          <w:highlight w:val="white"/>
          <w:rtl w:val="0"/>
        </w:rPr>
        <w:t xml:space="preserve">2) на этапе анализа данных, от методов коего зависит объем информации, строится числовая система, моделирующая отношения эмпирической системы объектов; иногда этот этап обозначается как выбор и реализация метода шкалирования. Есть два типа задач, решаемых с помощью методов шкалирования:</w:t>
      </w:r>
    </w:p>
    <w:p w:rsidR="00000000" w:rsidDel="00000000" w:rsidP="00000000" w:rsidRDefault="00000000" w:rsidRPr="00000000">
      <w:pPr>
        <w:shd w:fill="ffffff" w:val="clear"/>
        <w:spacing w:after="260" w:lineRule="auto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3b3b3b"/>
          <w:sz w:val="22"/>
          <w:szCs w:val="22"/>
          <w:highlight w:val="white"/>
          <w:rtl w:val="0"/>
        </w:rPr>
        <w:t xml:space="preserve">1) числовое отображение совокупности объектов с помощью их усредненной групповой оценки; в этом случае отображение производится с помощью шкалы оценок;</w:t>
      </w:r>
    </w:p>
    <w:p w:rsidR="00000000" w:rsidDel="00000000" w:rsidP="00000000" w:rsidRDefault="00000000" w:rsidRPr="00000000">
      <w:pPr>
        <w:shd w:fill="ffffff" w:val="clear"/>
        <w:spacing w:after="260" w:lineRule="auto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3b3b3b"/>
          <w:sz w:val="22"/>
          <w:szCs w:val="22"/>
          <w:highlight w:val="white"/>
          <w:rtl w:val="0"/>
        </w:rPr>
        <w:t xml:space="preserve">2) числовое отображение внутренних характеристик; в этом случае отображение производится с помощью шкалы установок.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Georgia" w:cs="Georgia" w:eastAsia="Georgia" w:hAnsi="Georgia"/>
          <w:color w:val="3b3b3b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Основы теории подобия.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Общие сведения о теории подобия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Теория подобия – это учение о подобии явлений. Содержа- ние теории подобия состоит в изучении свойств подобных явле- ний и разработке методов установления подобия.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Сущность проблемы, решаемой при помощи теории подо- бия, состоит в том, что на основе результатов опытов над моде- лями требуется определить для некоторого физического объекта, подобного модели, числовые данные соответствующих величин, например, скорости, температуры, мощности, напряжения и т.п.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Подобие позволяет обобщать результаты отдельных опытов на всю группу подобных явлений, изучать одно явление с помощью другого, подобного данному, установить при каких условиях обеспечивается соответствие между моделью и натурой. Более того, теория подобия облегчает единое описание процессов в са- мых различных сферах природы. По мере развития теории подо- бия учение о подобии стало распространяться как на явления и процессы одной физической природы, так и на явления и процес- сы, различающиеся по своей природе, но имеющие определен- ную аналогию или хотя бы какое-то математическое соответ- ствие. Стали различать аналоговое и математическое подобие. Теория подобия установила, что подобные явления или про- цессы могут характеризоваться особыми величинами, называе- мыми критериями подобия или инвариантами, которые сохра- няют одно и то же числовое значение для подобных явлений или процессов. Критерии подобия – это безразмерные комплексы, со- ставленные из величин, характеризующих явление. Так как одна 9 и та же модель может описывать только те явления или процес- сы, которые удовлетворяют определенным критериям подобия, то одной из главных задач теории подобия является определение критериев подобия. Методика определения критериев подобия развивалась по двум направлениям: - анализ уравнений, описывающих изучаемое явление; - анализ размерностей физических величин, характеризую- щих изучаемое явление. Первое направление разрабатывалось преимущественно в нашей стране, второе – в большей мере за рубежом. Теория подобия применяется [3]: - при аналитическом отыскании зависимостей, соотношений и решений конкретных задач; - при обработке результатов экспериментальных исследова- ний и испытаний различных технических устройств в тех случа- ях, когда результаты представлены в обобщенных «критериаль- ных» зависимостях; - при создании моделей, т.е. установок, воспроизводящих явления в других установках (оригиналах), обычно больших по величине 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Подобие и аналоги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основе теории подобия лежит понятие аналогии (от грече- ского analogia – соответствие). Аналогия – это сходство, подобие в определенном отношении объектов, явлений или понятий в це- лом различных. Объекты, сходные по соответствующим призна- кам, называются аналогами, а признаки, по которым объекты оказываются аналогами, называются сходственными. Сходствен- ные признаки могут быть качественными и количественными. В зависимости от этого различают качественную, количественную и смешанную аналогии. Основное значение аналогии состоит в возможности сделать вывод о наличии определенных признаков в объекте или явлении на основании сходства некоторых других признаков с признака- ми другого объекта или явления, называемых в этом случае аналогами. Это так называемое умозаключение по аналогии, которое имеет гипотетический характер. Оно может привести к истинно- му или ложному выводу. Поэтому суждение, полученное по ана- логии, нуждается, как правило, в специальной проверке. В ходе развития науки аналогия теряет значение как средство объясне- ния, однако она продолжает играть важную роль при выдвиже- нии гипотез, как средство уяснения проблемы и направления ее решения. Так, Х. Гюйгенс на основании аналогии свойств света и звука пришел к выводу о волновой природе света; Дж.К. Макс- велл распространил этот вывод на характеристику электромаг- нитного поля. Аналогии широко используются для придания наглядности сложным явлениям при их изучении. Например, аналогия прохождения тока в электрической цепи с движением жидкости. Не менее широко понятие аналогии используется при формировании понятий и для иллюстрации. Примерами являются термины: теплоемкость, запоминающее устройство, электродви- жущая сила и т.п. Примером, иллюстрирующим по аналогии по- нятие устойчивости, служит система – шарик на вогнутой по- верхности в поле тяготения. Аналогия позволяет перейти к важнейшему понятию подо- бия, обеспечивающему строгий пересчет данных моделей в дан- ные оригинала, то есть обработку и обобщение эксперименталь- ных данных. Это возможно при наличии математической анало- гии, то есть сходства объектов по их математическому описанию. Математическая аналогия является важнейшим видом количе- ственной аналогии. Сходство объектов по их математическому описанию, то есть математическая аналогия, при определенных условиях превращается в математическое подобие или просто подобие. Подобие – это полная математическая аналогия объектов или явлений при наличии пропорциональности между сходствен- ными переменными, неизменно сохраняющаяся при всех воз- можных значениях этих переменных, удовлетворяющих сход- ственным уравнениям. Существует понятие физического подобия, которое лежит в основе моделирования. Условия физического подобия устанавли- ваются на основании третьей теоремы подобия – подобие усло- вий однозначности (см. ниже). Понятие физического подобия недолжно быть связано с какими-то ни было суждениями о физиче- ской природе явлений. Явления подобны (или не подобны) друг другу безотносительно к тому, одинаковы или различны они по своей физической природе. В таком случае существует физиче- ское подобие в широком смысле. Физически однородные явления принято считать подобными в узком смысле. Подобие явлений различной физической природы называет- ся физической аналогией. Между такими физически различными явлениями существует соотношение аналогий. Очень важно, что эти соотношения различаются только качественно. В количе- ственном смысле они совершенно тождественны. На физической аналогии основан метод аналогий. Две си- стемы называются аналогичными, если имеется однозначное со- ответствие между каждым элементом системы, а также между функциями возмущения и реакциями элементов и всей системы в целом. Источником аналогии является принцип, лежащий в осно- ве большинства физических явлений – закона сохранения энер- гии и закона непрерывности. Перевод этих законов на математи- ческий язык приводит к характерным дифференциальным урав- нениям. Поскольку эти законы применимы к электрическим, ме- ханическим, тепловым, акустическим и другим явлениям (систе- мам), то соответствующие дифференциальные уравнения подоб- ны по форме. Это и является основой аналогии и лежит в основе моделирования на аналогах.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Условия подобия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Два объекта (явления) называются подобными, если они имеют сходственные математические описания, все сходствен- ные величины которых попарно пропорциональны.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Первое необходимое условие подобия – сходственность ма- тематических описаний. Это условие следует из определения по- добия двух объектов.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85348" cy="3341544"/>
            <wp:effectExtent b="0" l="0" r="0" t="0"/>
            <wp:docPr id="98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5348" cy="33415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24575" cy="6800850"/>
            <wp:effectExtent b="0" l="0" r="0" t="0"/>
            <wp:docPr id="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80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43625" cy="3476625"/>
            <wp:effectExtent b="0" l="0" r="0" t="0"/>
            <wp:docPr id="79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Способы определения критериев подобия: анализ уравнений, анализ размерностей, способ подстановки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91200" cy="1400175"/>
            <wp:effectExtent b="0" l="0" r="0" t="0"/>
            <wp:docPr id="1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ind w:firstLine="720"/>
        <w:contextualSpacing w:val="0"/>
        <w:jc w:val="both"/>
        <w:rPr>
          <w:vertAlign w:val="baseline"/>
        </w:rPr>
      </w:pPr>
      <w:bookmarkStart w:colFirst="0" w:colLast="0" w:name="_80to8b8ww5m3" w:id="3"/>
      <w:bookmarkEnd w:id="3"/>
      <w:r w:rsidDel="00000000" w:rsidR="00000000" w:rsidRPr="00000000">
        <w:rPr>
          <w:highlight w:val="yellow"/>
          <w:vertAlign w:val="baseline"/>
          <w:rtl w:val="0"/>
        </w:rPr>
        <w:t xml:space="preserve">Основные понятия теории массового обслуживания (ТМО).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smclc8lkspyk" w:id="4"/>
      <w:bookmarkEnd w:id="4"/>
      <w:r w:rsidDel="00000000" w:rsidR="00000000" w:rsidRPr="00000000">
        <w:rPr>
          <w:rtl w:val="0"/>
        </w:rPr>
        <w:t xml:space="preserve">***</w:t>
      </w:r>
      <w:r w:rsidDel="00000000" w:rsidR="00000000" w:rsidRPr="00000000">
        <w:rPr>
          <w:vertAlign w:val="baseline"/>
          <w:rtl w:val="0"/>
        </w:rPr>
        <w:t xml:space="preserve">Задачи ТМО.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Roboto" w:cs="Roboto" w:eastAsia="Roboto" w:hAnsi="Roboto"/>
          <w:color w:val="44444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Источник: </w:t>
      </w:r>
      <w:hyperlink r:id="rId4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https://goo.gl/SC54Av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Задача теории массового обслуживания </w:t>
      </w:r>
      <w:r w:rsidDel="00000000" w:rsidR="00000000" w:rsidRPr="00000000">
        <w:rPr>
          <w:sz w:val="24"/>
          <w:szCs w:val="24"/>
          <w:rtl w:val="0"/>
        </w:rPr>
        <w:t xml:space="preserve">состоит в выработке рекомендаций по рациональному построению СМО и рациональной организации их работы с целью обеспечения высокой эффективности обслуживания при оптимальных затратах.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Главная особенность задач данного класса – </w:t>
      </w:r>
      <w:r w:rsidDel="00000000" w:rsidR="00000000" w:rsidRPr="00000000">
        <w:rPr>
          <w:sz w:val="24"/>
          <w:szCs w:val="24"/>
          <w:rtl w:val="0"/>
        </w:rPr>
        <w:t xml:space="preserve">явная зависимость результатов анализ и получаемых рекомендаций от двух внешних факторов: частоты поступления и сложности заказов (а значит и времени их исполнения).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Предмет теории массового обслуживания – </w:t>
      </w:r>
      <w:r w:rsidDel="00000000" w:rsidR="00000000" w:rsidRPr="00000000">
        <w:rPr>
          <w:sz w:val="24"/>
          <w:szCs w:val="24"/>
          <w:rtl w:val="0"/>
        </w:rPr>
        <w:t xml:space="preserve">это установление зависимости между характером потока заявок, производительностью отдельного канала обслуживания, числом каналов и эффективностью обслуживания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vf9tbk7vfvq1" w:id="5"/>
      <w:bookmarkEnd w:id="5"/>
      <w:r w:rsidDel="00000000" w:rsidR="00000000" w:rsidRPr="00000000">
        <w:rPr>
          <w:vertAlign w:val="baseline"/>
          <w:rtl w:val="0"/>
        </w:rPr>
        <w:t xml:space="preserve">Общие сведения о системах массового обслуживания (СМО).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Системой массового обслуживания</w:t>
      </w:r>
      <w:r w:rsidDel="00000000" w:rsidR="00000000" w:rsidRPr="00000000">
        <w:rPr>
          <w:sz w:val="24"/>
          <w:szCs w:val="24"/>
          <w:rtl w:val="0"/>
        </w:rPr>
        <w:t xml:space="preserve"> (СМО) называется любая система для выполнения заявок, поступающих в неё в случайные моменты времени.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Заявкой</w:t>
      </w:r>
      <w:r w:rsidDel="00000000" w:rsidR="00000000" w:rsidRPr="00000000">
        <w:rPr>
          <w:sz w:val="24"/>
          <w:szCs w:val="24"/>
          <w:rtl w:val="0"/>
        </w:rPr>
        <w:t xml:space="preserve"> (или требованием) называется спрос на удовлетворение какой-либо потребности (далее потребности предполагаются однотипными). Выполнение заявки называется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обслуживанием заявки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Каналом обслуживания</w:t>
      </w:r>
      <w:r w:rsidDel="00000000" w:rsidR="00000000" w:rsidRPr="00000000">
        <w:rPr>
          <w:sz w:val="24"/>
          <w:szCs w:val="24"/>
          <w:rtl w:val="0"/>
        </w:rPr>
        <w:t xml:space="preserve"> называется устройство в СМО, обслуживающее заявку.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Поступление заявки в СМО называется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событием</w:t>
      </w:r>
      <w:r w:rsidDel="00000000" w:rsidR="00000000" w:rsidRPr="00000000">
        <w:rPr>
          <w:sz w:val="24"/>
          <w:szCs w:val="24"/>
          <w:rtl w:val="0"/>
        </w:rPr>
        <w:t xml:space="preserve">. Последовательность событий, заключающихся в поступлении заявок в СМО, называется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входящим потоком заявок</w:t>
      </w:r>
      <w:r w:rsidDel="00000000" w:rsidR="00000000" w:rsidRPr="00000000">
        <w:rPr>
          <w:sz w:val="24"/>
          <w:szCs w:val="24"/>
          <w:rtl w:val="0"/>
        </w:rPr>
        <w:t xml:space="preserve">. Последовательность событий, заключающихся в выполнении заявок в СМО, называется 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выходящим потоком заявок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Поток заявок называется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простейшим</w:t>
      </w:r>
      <w:r w:rsidDel="00000000" w:rsidR="00000000" w:rsidRPr="00000000">
        <w:rPr>
          <w:sz w:val="24"/>
          <w:szCs w:val="24"/>
          <w:rtl w:val="0"/>
        </w:rPr>
        <w:t xml:space="preserve">, если он удовлетворяет следующим условиям: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1)</w:t>
      </w:r>
      <w:r w:rsidDel="00000000" w:rsidR="00000000" w:rsidRPr="00000000">
        <w:rPr>
          <w:b w:val="1"/>
          <w:sz w:val="24"/>
          <w:szCs w:val="24"/>
          <w:rtl w:val="0"/>
        </w:rPr>
        <w:t xml:space="preserve">отсутствие последействия</w:t>
      </w:r>
      <w:r w:rsidDel="00000000" w:rsidR="00000000" w:rsidRPr="00000000">
        <w:rPr>
          <w:sz w:val="24"/>
          <w:szCs w:val="24"/>
          <w:rtl w:val="0"/>
        </w:rPr>
        <w:t xml:space="preserve">, т.е. заявки поступают независимо друг от друга;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2)</w:t>
      </w:r>
      <w:r w:rsidDel="00000000" w:rsidR="00000000" w:rsidRPr="00000000">
        <w:rPr>
          <w:b w:val="1"/>
          <w:sz w:val="24"/>
          <w:szCs w:val="24"/>
          <w:rtl w:val="0"/>
        </w:rPr>
        <w:t xml:space="preserve">стационарность</w:t>
      </w:r>
      <w:r w:rsidDel="00000000" w:rsidR="00000000" w:rsidRPr="00000000">
        <w:rPr>
          <w:sz w:val="24"/>
          <w:szCs w:val="24"/>
          <w:rtl w:val="0"/>
        </w:rPr>
        <w:t xml:space="preserve">, т.е. вероятность поступления данного числа заявок на любом временнóм отрезке [ 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, 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sz w:val="24"/>
          <w:szCs w:val="24"/>
          <w:rtl w:val="0"/>
        </w:rPr>
        <w:t xml:space="preserve">] зависит лишь от величины этого отрезка и не зависит от значения t1, что позволяет говорить о среднем числе заявок за единицу времени, λ, называемом </w:t>
      </w:r>
      <w:r w:rsidDel="00000000" w:rsidR="00000000" w:rsidRPr="00000000">
        <w:rPr>
          <w:b w:val="1"/>
          <w:sz w:val="24"/>
          <w:szCs w:val="24"/>
          <w:rtl w:val="0"/>
        </w:rPr>
        <w:t xml:space="preserve">интенсивностью потока заявок</w:t>
      </w:r>
      <w:r w:rsidDel="00000000" w:rsidR="00000000" w:rsidRPr="00000000">
        <w:rPr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3)</w:t>
      </w:r>
      <w:r w:rsidDel="00000000" w:rsidR="00000000" w:rsidRPr="00000000">
        <w:rPr>
          <w:b w:val="1"/>
          <w:sz w:val="24"/>
          <w:szCs w:val="24"/>
          <w:rtl w:val="0"/>
        </w:rPr>
        <w:t xml:space="preserve">ординарность</w:t>
      </w:r>
      <w:r w:rsidDel="00000000" w:rsidR="00000000" w:rsidRPr="00000000">
        <w:rPr>
          <w:sz w:val="24"/>
          <w:szCs w:val="24"/>
          <w:rtl w:val="0"/>
        </w:rPr>
        <w:t xml:space="preserve">, т.е. в любой момент времени в СМО поступает  лишь одна заявка, а поступление одновременно двух и более заявок пренебрежимо мало.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простейшего потока вероятность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(t) поступления в СМО ровно i заявок за время t вычисляется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21510" cy="505225"/>
            <wp:effectExtent b="0" l="0" r="0" t="0"/>
            <wp:docPr id="58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505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т.е. вероятности распределены по закону Пуассона с параметром λt. По этой причине простейший поток называется также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пуассоновским потоком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2463800"/>
            <wp:effectExtent b="0" l="0" r="0" t="0"/>
            <wp:docPr id="41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x7d5ens60en7" w:id="6"/>
      <w:bookmarkEnd w:id="6"/>
      <w:r w:rsidDel="00000000" w:rsidR="00000000" w:rsidRPr="00000000">
        <w:rPr>
          <w:rtl w:val="0"/>
        </w:rPr>
        <w:t xml:space="preserve">***</w:t>
      </w:r>
      <w:r w:rsidDel="00000000" w:rsidR="00000000" w:rsidRPr="00000000">
        <w:rPr>
          <w:vertAlign w:val="baseline"/>
          <w:rtl w:val="0"/>
        </w:rPr>
        <w:t xml:space="preserve">Время обслуживания.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Roboto" w:cs="Roboto" w:eastAsia="Roboto" w:hAnsi="Roboto"/>
          <w:color w:val="444444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Источник:</w:t>
      </w:r>
      <w:hyperlink r:id="rId46">
        <w:r w:rsidDel="00000000" w:rsidR="00000000" w:rsidRPr="00000000">
          <w:rPr>
            <w:rFonts w:ascii="Roboto" w:cs="Roboto" w:eastAsia="Roboto" w:hAnsi="Roboto"/>
            <w:color w:val="1155cc"/>
            <w:highlight w:val="white"/>
            <w:u w:val="single"/>
            <w:rtl w:val="0"/>
          </w:rPr>
          <w:t xml:space="preserve">https://goo.gl/9aHYZv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4"/>
          <w:szCs w:val="24"/>
          <w:highlight w:val="white"/>
          <w:rtl w:val="0"/>
        </w:rPr>
        <w:t xml:space="preserve">Время обслуживания</w:t>
      </w:r>
      <w:r w:rsidDel="00000000" w:rsidR="00000000" w:rsidRPr="00000000">
        <w:rPr>
          <w:rFonts w:ascii="Arial" w:cs="Arial" w:eastAsia="Arial" w:hAnsi="Arial"/>
          <w:color w:val="222222"/>
          <w:sz w:val="24"/>
          <w:szCs w:val="24"/>
          <w:highlight w:val="white"/>
          <w:rtl w:val="0"/>
        </w:rPr>
        <w:t xml:space="preserve"> — период времени, в течение которого обслуживается требование (μ– интенсивность обслуживания заявок).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bg8b7e7ivou3" w:id="7"/>
      <w:bookmarkEnd w:id="7"/>
      <w:r w:rsidDel="00000000" w:rsidR="00000000" w:rsidRPr="00000000">
        <w:rPr>
          <w:vertAlign w:val="baseline"/>
          <w:rtl w:val="0"/>
        </w:rPr>
        <w:t xml:space="preserve">Дисциплина обслуживания.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СМО могут также различаться по дисциплине обслуживания: обслуживаются ли заявки в порядке поступления, случайным образом или вне очереди (с приоритетом).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56awdv7rb6u1" w:id="8"/>
      <w:bookmarkEnd w:id="8"/>
      <w:r w:rsidDel="00000000" w:rsidR="00000000" w:rsidRPr="00000000">
        <w:rPr>
          <w:vertAlign w:val="baseline"/>
          <w:rtl w:val="0"/>
        </w:rPr>
        <w:t xml:space="preserve"> Классификация систем массового обслуживания.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Вкратце: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одноканальная / многоканальная (по числу каналов обслуживания);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СМО с отказами (если при отказе в обслуживании заявка должна покинуть СМО);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СМО С очередью (ограниченной или неограниченной) (если при отказе заявка может встать в очередь);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смешанный тип СМО;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открытого / замкнутого типа;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обслуживаются в порядке поступления, случайным образом или по приоритету.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Подробнее далее. СМО, содержащее один канал обслуживания, называется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одноканальной</w:t>
      </w:r>
      <w:r w:rsidDel="00000000" w:rsidR="00000000" w:rsidRPr="00000000">
        <w:rPr>
          <w:sz w:val="24"/>
          <w:szCs w:val="24"/>
          <w:rtl w:val="0"/>
        </w:rPr>
        <w:t xml:space="preserve">, а содержащее более одного канала обслуживания – </w:t>
      </w:r>
      <w:r w:rsidDel="00000000" w:rsidR="00000000" w:rsidRPr="00000000">
        <w:rPr>
          <w:b w:val="1"/>
          <w:sz w:val="24"/>
          <w:szCs w:val="24"/>
          <w:rtl w:val="0"/>
        </w:rPr>
        <w:t xml:space="preserve">многоканальной</w:t>
      </w:r>
      <w:r w:rsidDel="00000000" w:rsidR="00000000" w:rsidRPr="00000000">
        <w:rPr>
          <w:sz w:val="24"/>
          <w:szCs w:val="24"/>
          <w:rtl w:val="0"/>
        </w:rPr>
        <w:t xml:space="preserve"> (например, 3 кассы на вокзале).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заявка, поступающая в СМО, может получить отказ в обслуживании (в силу занятости всех каналов обслуживания) и в случае отказа вынуждена покинуть СМО, то такая СМО называется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СМО с отказами</w:t>
      </w:r>
      <w:r w:rsidDel="00000000" w:rsidR="00000000" w:rsidRPr="00000000">
        <w:rPr>
          <w:sz w:val="24"/>
          <w:szCs w:val="24"/>
          <w:rtl w:val="0"/>
        </w:rPr>
        <w:t xml:space="preserve"> (примером такой СМО может служить АТС).  Если в случае отказа в обслуживании заявки могут вставать в очередь, то такие СМО называются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СМО с очередью</w:t>
      </w:r>
      <w:r w:rsidDel="00000000" w:rsidR="00000000" w:rsidRPr="00000000">
        <w:rPr>
          <w:sz w:val="24"/>
          <w:szCs w:val="24"/>
          <w:rtl w:val="0"/>
        </w:rPr>
        <w:t xml:space="preserve"> (или с ожиданием). При этом различают СМО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с ограниченной и неограниченной очередью</w:t>
      </w:r>
      <w:r w:rsidDel="00000000" w:rsidR="00000000" w:rsidRPr="00000000">
        <w:rPr>
          <w:sz w:val="24"/>
          <w:szCs w:val="24"/>
          <w:rtl w:val="0"/>
        </w:rPr>
        <w:t xml:space="preserve">. Примером первых СМО может служить мойка для автомашин с маленькой стоянкой для ожидающих машин, а примером вторых СМО может служить билетная касса или метрополитен.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Возможны также СМО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смешанного типа</w:t>
      </w:r>
      <w:r w:rsidDel="00000000" w:rsidR="00000000" w:rsidRPr="00000000">
        <w:rPr>
          <w:sz w:val="24"/>
          <w:szCs w:val="24"/>
          <w:rtl w:val="0"/>
        </w:rPr>
        <w:t xml:space="preserve">, когда, например, заявка может вставать в очередь, если она не очень велика, и может находиться в очереди ограниченное время и уйти из  СМО не обслуженной.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Различают СМО открытого и замкнутого типа. В СМО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открытого тип</w:t>
      </w:r>
      <w:r w:rsidDel="00000000" w:rsidR="00000000" w:rsidRPr="00000000">
        <w:rPr>
          <w:sz w:val="24"/>
          <w:szCs w:val="24"/>
          <w:rtl w:val="0"/>
        </w:rPr>
        <w:t xml:space="preserve">а поток заявок не зависит от СМО (билетные кассы, очередь в булочной). В СМО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замкнутого типа</w:t>
      </w:r>
      <w:r w:rsidDel="00000000" w:rsidR="00000000" w:rsidRPr="00000000">
        <w:rPr>
          <w:sz w:val="24"/>
          <w:szCs w:val="24"/>
          <w:rtl w:val="0"/>
        </w:rPr>
        <w:t xml:space="preserve"> обслуживается ограниченный круг клиентов, а число заявок может существенно зависеть от состояния СМО (например, бригада слесарей – наладчиков, обслуживающих станки на заводе).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СМО могут также различаться по дисциплине обслуживания: обслуживаются ли заявки </w:t>
      </w:r>
      <w:r w:rsidDel="00000000" w:rsidR="00000000" w:rsidRPr="00000000">
        <w:rPr>
          <w:b w:val="1"/>
          <w:sz w:val="24"/>
          <w:szCs w:val="24"/>
          <w:rtl w:val="0"/>
        </w:rPr>
        <w:t xml:space="preserve">в порядке поступления, случайным образом или вне очереди (с приоритетом)</w:t>
      </w:r>
      <w:r w:rsidDel="00000000" w:rsidR="00000000" w:rsidRPr="00000000">
        <w:rPr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rlqbss8zufyj" w:id="9"/>
      <w:bookmarkEnd w:id="9"/>
      <w:r w:rsidDel="00000000" w:rsidR="00000000" w:rsidRPr="00000000">
        <w:rPr>
          <w:vertAlign w:val="baseline"/>
          <w:rtl w:val="0"/>
        </w:rPr>
        <w:t xml:space="preserve">Числовые характеристики показателей эффективности систем массового обслуживания.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СМО описываются некоторыми параметрами, которые характеризуют эффективность работы системы: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 – число каналов в СМО; λ – интенсивность поступления в СМО заявок; μ– интенсивность обслуживания заявок; ρ = λ/μ – коэффициент загрузки СМО; m – число мест в очереди;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6464300"/>
            <wp:effectExtent b="0" l="0" r="0" t="0"/>
            <wp:docPr id="46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646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oh646rvsszlp" w:id="10"/>
      <w:bookmarkEnd w:id="10"/>
      <w:r w:rsidDel="00000000" w:rsidR="00000000" w:rsidRPr="00000000">
        <w:rPr>
          <w:vertAlign w:val="baseline"/>
          <w:rtl w:val="0"/>
        </w:rPr>
        <w:t xml:space="preserve">Одноканальная СМО с отказами.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Размеченный граф состояний одноканальной СМО представлен на рис.4.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218373" cy="1034718"/>
            <wp:effectExtent b="0" l="0" r="0" t="0"/>
            <wp:docPr id="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8373" cy="10347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Здесь λ и μ – интенсивность потока заявок и выполнения заявок соответственно. Состояние системы 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обозначает, что канал свободен, а 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 - что канал занят обслуживанием заявки.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Уравнения для финальных вероятностей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и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 (откуда получилось - см. система дифференциальных уравнений Колмогорова на 16 странице методы ТМО)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20828" cy="871538"/>
            <wp:effectExtent b="0" l="0" r="0" t="0"/>
            <wp:docPr id="72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0828" cy="87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Вероятность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по своему смыслу есть </w:t>
      </w:r>
      <w:r w:rsidDel="00000000" w:rsidR="00000000" w:rsidRPr="00000000">
        <w:rPr>
          <w:b w:val="1"/>
          <w:sz w:val="24"/>
          <w:szCs w:val="24"/>
          <w:rtl w:val="0"/>
        </w:rPr>
        <w:t xml:space="preserve">вероятность обслуживания заявки p</w:t>
      </w:r>
      <w:r w:rsidDel="00000000" w:rsidR="00000000" w:rsidRPr="00000000">
        <w:rPr>
          <w:b w:val="1"/>
          <w:sz w:val="24"/>
          <w:szCs w:val="24"/>
          <w:vertAlign w:val="subscript"/>
          <w:rtl w:val="0"/>
        </w:rPr>
        <w:t xml:space="preserve">обс</w:t>
      </w:r>
      <w:r w:rsidDel="00000000" w:rsidR="00000000" w:rsidRPr="00000000">
        <w:rPr>
          <w:sz w:val="24"/>
          <w:szCs w:val="24"/>
          <w:rtl w:val="0"/>
        </w:rPr>
        <w:t xml:space="preserve">, т.к. канал является свободным, а вероятность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 по своему смыслу является </w:t>
      </w:r>
      <w:r w:rsidDel="00000000" w:rsidR="00000000" w:rsidRPr="00000000">
        <w:rPr>
          <w:b w:val="1"/>
          <w:sz w:val="24"/>
          <w:szCs w:val="24"/>
          <w:rtl w:val="0"/>
        </w:rPr>
        <w:t xml:space="preserve">вероятностью отказа в обслуживании</w:t>
      </w:r>
      <w:r w:rsidDel="00000000" w:rsidR="00000000" w:rsidRPr="00000000">
        <w:rPr>
          <w:sz w:val="24"/>
          <w:szCs w:val="24"/>
          <w:rtl w:val="0"/>
        </w:rPr>
        <w:t xml:space="preserve"> поступающей в СМО заявки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отк</w:t>
      </w:r>
      <w:r w:rsidDel="00000000" w:rsidR="00000000" w:rsidRPr="00000000">
        <w:rPr>
          <w:sz w:val="24"/>
          <w:szCs w:val="24"/>
          <w:rtl w:val="0"/>
        </w:rPr>
        <w:t xml:space="preserve">, т.к. канал занят обслуживанием предыдущей заявки. Остальные характеристики СМО (некоторые не меняются и отражены в числовых характеристиках):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89697" cy="492466"/>
            <wp:effectExtent b="0" l="0" r="0" t="0"/>
            <wp:docPr id="44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" cy="4924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37297" cy="468167"/>
            <wp:effectExtent b="0" l="0" r="0" t="0"/>
            <wp:docPr id="1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7297" cy="468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Абсолютная пропускная способность СМО: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46822" cy="252247"/>
            <wp:effectExtent b="0" l="0" r="0" t="0"/>
            <wp:docPr id="59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22" cy="2522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ar437m3vah74" w:id="11"/>
      <w:bookmarkEnd w:id="11"/>
      <w:r w:rsidDel="00000000" w:rsidR="00000000" w:rsidRPr="00000000">
        <w:rPr>
          <w:vertAlign w:val="baseline"/>
          <w:rtl w:val="0"/>
        </w:rPr>
        <w:t xml:space="preserve"> Многоканальная СМО с отказами.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Пусть СМО содержит n каналов, интенсивность входящего потока заявок равна λ, а интенсивность обслуживания заявки каждым каналом равна μ. Размеченный граф состояний системы изображён на рис. 5.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1003300"/>
            <wp:effectExtent b="0" l="0" r="0" t="0"/>
            <wp:docPr id="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Состояние 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означает, что </w:t>
      </w:r>
      <w:r w:rsidDel="00000000" w:rsidR="00000000" w:rsidRPr="00000000">
        <w:rPr>
          <w:b w:val="1"/>
          <w:sz w:val="24"/>
          <w:szCs w:val="24"/>
          <w:rtl w:val="0"/>
        </w:rPr>
        <w:t xml:space="preserve">все каналы свободны</w:t>
      </w:r>
      <w:r w:rsidDel="00000000" w:rsidR="00000000" w:rsidRPr="00000000">
        <w:rPr>
          <w:sz w:val="24"/>
          <w:szCs w:val="24"/>
          <w:rtl w:val="0"/>
        </w:rPr>
        <w:t xml:space="preserve">, состояние 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k</w:t>
      </w:r>
      <w:r w:rsidDel="00000000" w:rsidR="00000000" w:rsidRPr="00000000">
        <w:rPr>
          <w:sz w:val="24"/>
          <w:szCs w:val="24"/>
          <w:rtl w:val="0"/>
        </w:rPr>
        <w:t xml:space="preserve">(k=1,</w:t>
      </w:r>
      <m:oMath>
        <m:bar>
          <m:barPr>
            <m:pos/>
            <m:ctrlPr>
              <w:rPr>
                <w:sz w:val="24"/>
                <w:szCs w:val="24"/>
              </w:rPr>
            </m:ctrlPr>
          </m:barPr>
          <m:e>
            <m:r>
              <w:rPr>
                <w:sz w:val="24"/>
                <w:szCs w:val="24"/>
              </w:rPr>
              <m:t xml:space="preserve">n</m:t>
            </m:r>
          </m:e>
        </m:bar>
      </m:oMath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 означает, что обслуживанием заявок </w:t>
      </w:r>
      <w:r w:rsidDel="00000000" w:rsidR="00000000" w:rsidRPr="00000000">
        <w:rPr>
          <w:b w:val="1"/>
          <w:sz w:val="24"/>
          <w:szCs w:val="24"/>
          <w:rtl w:val="0"/>
        </w:rPr>
        <w:t xml:space="preserve">заняты k каналов</w:t>
      </w:r>
      <w:r w:rsidDel="00000000" w:rsidR="00000000" w:rsidRPr="00000000">
        <w:rPr>
          <w:sz w:val="24"/>
          <w:szCs w:val="24"/>
          <w:rtl w:val="0"/>
        </w:rPr>
        <w:t xml:space="preserve">. Переход из одного состояния в другое соседнее правое происходит скачкообразно под воздействием входящего потока заявок интенсивностью λ независимо от числа работающих каналов (верхние стрелки). Для перехода системы из одного состояния в соседнее левое неважно, какой именно канал освободится. Величина kμ характеризует </w:t>
      </w:r>
      <w:r w:rsidDel="00000000" w:rsidR="00000000" w:rsidRPr="00000000">
        <w:rPr>
          <w:b w:val="1"/>
          <w:sz w:val="24"/>
          <w:szCs w:val="24"/>
          <w:rtl w:val="0"/>
        </w:rPr>
        <w:t xml:space="preserve">интенсивность обслуживания заявок</w:t>
      </w:r>
      <w:r w:rsidDel="00000000" w:rsidR="00000000" w:rsidRPr="00000000">
        <w:rPr>
          <w:sz w:val="24"/>
          <w:szCs w:val="24"/>
          <w:rtl w:val="0"/>
        </w:rPr>
        <w:t xml:space="preserve"> при работе в СМО k каналов (нижние стрелки).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Многоканальная СМО с отказами является частным случаем системы рождения и гибели (подробнее см. методу по ТМО стр.17).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этом для нахождения финальных вероятностей можно воспользоваться формулами (они называются формулами Эрланга – основателя теории массового обслуживания):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37299" cy="909638"/>
            <wp:effectExtent b="0" l="0" r="0" t="0"/>
            <wp:docPr id="48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299" cy="909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Вероятность отказа в обслуживании заявки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отк</w:t>
      </w:r>
      <w:r w:rsidDel="00000000" w:rsidR="00000000" w:rsidRPr="00000000">
        <w:rPr>
          <w:sz w:val="24"/>
          <w:szCs w:val="24"/>
          <w:rtl w:val="0"/>
        </w:rPr>
        <w:t xml:space="preserve"> равна вероятности того, что все каналы заняты, т.е. система находится в состоянии 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32597" cy="490358"/>
            <wp:effectExtent b="0" l="0" r="0" t="0"/>
            <wp:docPr id="29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2597" cy="4903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Относительная пропускная способность: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70798" cy="472187"/>
            <wp:effectExtent b="0" l="0" r="0" t="0"/>
            <wp:docPr id="1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0798" cy="472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Абсолютная пропускная способность: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31070" cy="614363"/>
            <wp:effectExtent b="0" l="0" r="0" t="0"/>
            <wp:docPr id="77" name="image168.png"/>
            <a:graphic>
              <a:graphicData uri="http://schemas.openxmlformats.org/drawingml/2006/picture">
                <pic:pic>
                  <pic:nvPicPr>
                    <pic:cNvPr id="0" name="image168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1070" cy="614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число занятых обслуживанием каналов можно найти по формуле (т.к. каждый занятый канал в единицу времени обслуживает в среднем μ заявок):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50060" cy="546894"/>
            <wp:effectExtent b="0" l="0" r="0" t="0"/>
            <wp:docPr id="30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546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st0fz2w91ubg" w:id="12"/>
      <w:bookmarkEnd w:id="12"/>
      <w:r w:rsidDel="00000000" w:rsidR="00000000" w:rsidRPr="00000000">
        <w:rPr>
          <w:vertAlign w:val="baseline"/>
          <w:rtl w:val="0"/>
        </w:rPr>
        <w:t xml:space="preserve">Одноканальная СМО с ограниченной длиной очереди.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СМО с ограниченной очередью число мест m в очереди ограничено. Следовательно, заявка, поступившая в момент времени, когда все места в очереди заняты, отклоняется и покидает СМО. Граф такой СМО представлен на рис.6. 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1092200"/>
            <wp:effectExtent b="0" l="0" r="0" t="0"/>
            <wp:docPr id="78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Состояния СМО представляются следующим образом: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S0 - канал обслуживания свободен,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S1 – канал обслуживания занят, но очереди нет,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S2 – канал обслуживания занят, в очереди одна заявка,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----------------------------------------------------------------------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Sk+1 – канал обслуживания занят, в очереди k заявок,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----------------------------------------------------------------------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Sm+1 – канал обслуживания занят, все m мест в очереди заняты.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получения необходимых формул можно воспользоваться тем обстоятельством, что СМО на рис.6 является частным случаем системы рождения и гибели (подробнее - см. ТМО стр. 19).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Выражения для финальных вероятностей: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47198" cy="625354"/>
            <wp:effectExtent b="0" l="0" r="0" t="0"/>
            <wp:docPr id="81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7198" cy="625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901700"/>
            <wp:effectExtent b="0" l="0" r="0" t="0"/>
            <wp:docPr id="67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4572000"/>
            <wp:effectExtent b="0" l="0" r="0" t="0"/>
            <wp:docPr id="1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axk3jzf8mzeo" w:id="13"/>
      <w:bookmarkEnd w:id="13"/>
      <w:r w:rsidDel="00000000" w:rsidR="00000000" w:rsidRPr="00000000">
        <w:rPr>
          <w:vertAlign w:val="baseline"/>
          <w:rtl w:val="0"/>
        </w:rPr>
        <w:t xml:space="preserve">Одноканальная СМО с неограниченной длиной очереди.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Граф такой СМО изображён на рис. 7.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1206500"/>
            <wp:effectExtent b="0" l="0" r="0" t="0"/>
            <wp:docPr id="28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20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Все характеристики такой СМО можно получить из формул предыдущего раздела, полагая в них m→ ∞. При этом необходимо различать два существенно разных случая: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а) ρ ≥ 1; (при t → ∞ очередь неограниченно возрастает, т.е. этот случай практического интереса не представляет, почему - см. ТМО 20 стр.)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б) ρ &lt; 1 (ДАЛЕЕ РАССМАТРИВАЕТСЯ ТОЛЬКО ЭТО!)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85298" cy="466650"/>
            <wp:effectExtent b="0" l="0" r="0" t="0"/>
            <wp:docPr id="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5298" cy="46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Поскольку в СМО отсутствует ограничение на длину очереди, то любая заявка может быть обслужена, т.е. относительная пропускная способность равна (4.9 и 4.10 см. в общих числовых характеристиках СМО):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2527300"/>
            <wp:effectExtent b="0" l="0" r="0" t="0"/>
            <wp:docPr id="47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xmlyx7z0hhvg" w:id="14"/>
      <w:bookmarkEnd w:id="14"/>
      <w:r w:rsidDel="00000000" w:rsidR="00000000" w:rsidRPr="00000000">
        <w:rPr>
          <w:vertAlign w:val="baseline"/>
          <w:rtl w:val="0"/>
        </w:rPr>
        <w:t xml:space="preserve">Многоканальная СМО с ограниченной длиной очереди.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Пусть на вход СМО, имеющей n каналов обслуживания, поступает </w:t>
      </w:r>
      <w:r w:rsidDel="00000000" w:rsidR="00000000" w:rsidRPr="00000000">
        <w:rPr>
          <w:b w:val="1"/>
          <w:sz w:val="24"/>
          <w:szCs w:val="24"/>
          <w:rtl w:val="0"/>
        </w:rPr>
        <w:t xml:space="preserve">пуассоновский поток заявок с интенсивностью λ</w:t>
      </w:r>
      <w:r w:rsidDel="00000000" w:rsidR="00000000" w:rsidRPr="00000000">
        <w:rPr>
          <w:sz w:val="24"/>
          <w:szCs w:val="24"/>
          <w:rtl w:val="0"/>
        </w:rPr>
        <w:t xml:space="preserve">. Интенсивность обслуживания заявки каждым каналом равна μ, а максимальное число мест в очереди равно m. Граф такой системы представлен на рис.8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1282700"/>
            <wp:effectExtent b="0" l="0" r="0" t="0"/>
            <wp:docPr id="68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- все каналы свободны, очереди нет;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l</w:t>
      </w:r>
      <w:r w:rsidDel="00000000" w:rsidR="00000000" w:rsidRPr="00000000">
        <w:rPr>
          <w:sz w:val="24"/>
          <w:szCs w:val="24"/>
          <w:rtl w:val="0"/>
        </w:rPr>
        <w:t xml:space="preserve">- заняты </w:t>
      </w:r>
      <w:r w:rsidDel="00000000" w:rsidR="00000000" w:rsidRPr="00000000">
        <w:rPr>
          <w:i w:val="1"/>
          <w:sz w:val="24"/>
          <w:szCs w:val="24"/>
          <w:rtl w:val="0"/>
        </w:rPr>
        <w:t xml:space="preserve">l</w:t>
      </w:r>
      <w:r w:rsidDel="00000000" w:rsidR="00000000" w:rsidRPr="00000000">
        <w:rPr>
          <w:sz w:val="24"/>
          <w:szCs w:val="24"/>
          <w:rtl w:val="0"/>
        </w:rPr>
        <w:t xml:space="preserve"> каналов </w:t>
      </w:r>
      <m:oMath>
        <m:r>
          <w:rPr>
            <w:sz w:val="24"/>
            <w:szCs w:val="24"/>
          </w:rPr>
          <m:t xml:space="preserve">(l=</m:t>
        </m:r>
        <m:bar>
          <m:barPr>
            <m:pos/>
            <m:ctrlPr>
              <w:rPr>
                <w:sz w:val="24"/>
                <w:szCs w:val="24"/>
              </w:rPr>
            </m:ctrlPr>
          </m:barPr>
          <m:e>
            <m:r>
              <w:rPr>
                <w:sz w:val="24"/>
                <w:szCs w:val="24"/>
              </w:rPr>
              <m:t xml:space="preserve">1,n</m:t>
            </m:r>
          </m:e>
        </m:bar>
        <m:r>
          <w:rPr>
            <w:sz w:val="24"/>
            <w:szCs w:val="24"/>
          </w:rPr>
          <m:t xml:space="preserve">)</m:t>
        </m:r>
      </m:oMath>
      <w:r w:rsidDel="00000000" w:rsidR="00000000" w:rsidRPr="00000000">
        <w:rPr>
          <w:sz w:val="24"/>
          <w:szCs w:val="24"/>
          <w:rtl w:val="0"/>
        </w:rPr>
        <w:t xml:space="preserve"> , очереди нет;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n+i</w:t>
      </w:r>
      <w:r w:rsidDel="00000000" w:rsidR="00000000" w:rsidRPr="00000000">
        <w:rPr>
          <w:sz w:val="24"/>
          <w:szCs w:val="24"/>
          <w:rtl w:val="0"/>
        </w:rPr>
        <w:t xml:space="preserve">- заняты все </w:t>
      </w:r>
      <w:r w:rsidDel="00000000" w:rsidR="00000000" w:rsidRPr="00000000">
        <w:rPr>
          <w:i w:val="1"/>
          <w:sz w:val="24"/>
          <w:szCs w:val="24"/>
          <w:rtl w:val="0"/>
        </w:rPr>
        <w:t xml:space="preserve">n</w:t>
      </w:r>
      <w:r w:rsidDel="00000000" w:rsidR="00000000" w:rsidRPr="00000000">
        <w:rPr>
          <w:sz w:val="24"/>
          <w:szCs w:val="24"/>
          <w:rtl w:val="0"/>
        </w:rPr>
        <w:t xml:space="preserve"> каналов, в очереди находится </w:t>
      </w:r>
      <w:r w:rsidDel="00000000" w:rsidR="00000000" w:rsidRPr="00000000">
        <w:rPr>
          <w:i w:val="1"/>
          <w:sz w:val="24"/>
          <w:szCs w:val="24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 заявок </w:t>
      </w:r>
      <m:oMath>
        <m:r>
          <w:rPr>
            <w:sz w:val="24"/>
            <w:szCs w:val="24"/>
          </w:rPr>
          <m:t xml:space="preserve">(i=</m:t>
        </m:r>
        <m:bar>
          <m:barPr>
            <m:pos/>
            <m:ctrlPr>
              <w:rPr>
                <w:sz w:val="24"/>
                <w:szCs w:val="24"/>
              </w:rPr>
            </m:ctrlPr>
          </m:barPr>
          <m:e>
            <m:r>
              <w:rPr>
                <w:sz w:val="24"/>
                <w:szCs w:val="24"/>
              </w:rPr>
              <m:t xml:space="preserve">1,m</m:t>
            </m:r>
          </m:e>
        </m:bar>
        <m:r>
          <w:rPr>
            <w:sz w:val="24"/>
            <w:szCs w:val="24"/>
          </w:rPr>
          <m:t xml:space="preserve">)</m:t>
        </m:r>
      </m:oMath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Cистема является частным случаем системы рождения и гибели (см. ТМО стр.22).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Выражения для финальных вероятностей: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30102" cy="1313756"/>
            <wp:effectExtent b="0" l="0" r="0" t="0"/>
            <wp:docPr id="64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0102" cy="1313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ВСЕ ФОРМУЛЫ РАЗДЕЛА 4 НАХОДЯТСЯ В ПУНКТЕ ПРО ЧИСЛОВЫЕ ХАРАКТЕРИСТИКИ!!!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Образование очереди происходит, когда в момент поступления в СМО очередной заявки все n каналов заняты, т.е. когда в системе будет находиться либо n, либо n + 1,…, либо (n + m – 1)заявок. Так как эти события несовместимы, то вероятность образования очереди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оч</w:t>
      </w:r>
      <w:r w:rsidDel="00000000" w:rsidR="00000000" w:rsidRPr="00000000">
        <w:rPr>
          <w:sz w:val="24"/>
          <w:szCs w:val="24"/>
          <w:rtl w:val="0"/>
        </w:rPr>
        <w:t xml:space="preserve"> равна: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708464" cy="461963"/>
            <wp:effectExtent b="0" l="0" r="0" t="0"/>
            <wp:docPr id="84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8464" cy="46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Отказ в обслуживании</w:t>
      </w:r>
      <w:r w:rsidDel="00000000" w:rsidR="00000000" w:rsidRPr="00000000">
        <w:rPr>
          <w:sz w:val="24"/>
          <w:szCs w:val="24"/>
          <w:rtl w:val="0"/>
        </w:rPr>
        <w:t xml:space="preserve"> заявки происходит, когда все m мест в очереди заняты, т.е.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25185" cy="404813"/>
            <wp:effectExtent b="0" l="0" r="0" t="0"/>
            <wp:docPr id="1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5185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Относительная пропускная способность</w:t>
      </w:r>
      <w:r w:rsidDel="00000000" w:rsidR="00000000" w:rsidRPr="00000000">
        <w:rPr>
          <w:sz w:val="24"/>
          <w:szCs w:val="24"/>
          <w:rtl w:val="0"/>
        </w:rPr>
        <w:t xml:space="preserve"> равна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80498" cy="415144"/>
            <wp:effectExtent b="0" l="0" r="0" t="0"/>
            <wp:docPr id="94" name="image191.png"/>
            <a:graphic>
              <a:graphicData uri="http://schemas.openxmlformats.org/drawingml/2006/picture">
                <pic:pic>
                  <pic:nvPicPr>
                    <pic:cNvPr id="0" name="image191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0498" cy="4151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 </w:t>
      </w:r>
      <w:r w:rsidDel="00000000" w:rsidR="00000000" w:rsidRPr="00000000">
        <w:rPr>
          <w:b w:val="1"/>
          <w:sz w:val="24"/>
          <w:szCs w:val="24"/>
          <w:rtl w:val="0"/>
        </w:rPr>
        <w:t xml:space="preserve">абсолютная пропускная способность</w:t>
      </w:r>
      <w:r w:rsidDel="00000000" w:rsidR="00000000" w:rsidRPr="00000000">
        <w:rPr>
          <w:sz w:val="24"/>
          <w:szCs w:val="24"/>
          <w:rtl w:val="0"/>
        </w:rPr>
        <w:t xml:space="preserve"> –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094798" cy="406024"/>
            <wp:effectExtent b="0" l="0" r="0" t="0"/>
            <wp:docPr id="45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4798" cy="406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6213475" cy="2159000"/>
            <wp:effectExtent b="0" l="0" r="0" t="0"/>
            <wp:docPr id="50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2603500"/>
            <wp:effectExtent b="0" l="0" r="0" t="0"/>
            <wp:docPr id="96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k0ve63m7c061" w:id="15"/>
      <w:bookmarkEnd w:id="15"/>
      <w:r w:rsidDel="00000000" w:rsidR="00000000" w:rsidRPr="00000000">
        <w:rPr>
          <w:vertAlign w:val="baseline"/>
          <w:rtl w:val="0"/>
        </w:rPr>
        <w:t xml:space="preserve">Многоканальная СМО с неограниченной длиной очереди.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Граф такой СМО (рис.9)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889000"/>
            <wp:effectExtent b="0" l="0" r="0" t="0"/>
            <wp:docPr id="97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88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Формулы для финальных вероятностей можно получить из формул для n-канальной СМО с ограниченной очередью при m → ∞. При этом следует иметь в виду, что есть два варианта: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а) ρ/n≥1, вероятность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</w:t>
      </w:r>
      <w:r w:rsidDel="00000000" w:rsidR="00000000" w:rsidRPr="00000000">
        <w:rPr>
          <w:sz w:val="24"/>
          <w:szCs w:val="24"/>
          <w:rtl w:val="0"/>
        </w:rPr>
        <w:t xml:space="preserve"> =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=…=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sz w:val="24"/>
          <w:szCs w:val="24"/>
          <w:rtl w:val="0"/>
        </w:rPr>
        <w:t xml:space="preserve"> = 0, т.е. очередь неограниченно возрастает. Следовательно, этот случай практического интереса не представляет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б) ρ/n &lt; 1. (ДАЛЕЕ РАССМАТРИВАЕМ ТОЛЬКО ЭТО)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Формулы вероятностей (при m → ∞):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687252" cy="452909"/>
            <wp:effectExtent b="0" l="0" r="0" t="0"/>
            <wp:docPr id="2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7252" cy="452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77702" cy="384588"/>
            <wp:effectExtent b="0" l="0" r="0" t="0"/>
            <wp:docPr id="82" name="image176.png"/>
            <a:graphic>
              <a:graphicData uri="http://schemas.openxmlformats.org/drawingml/2006/picture">
                <pic:pic>
                  <pic:nvPicPr>
                    <pic:cNvPr id="0" name="image176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7702" cy="384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Выражение для вероятности образования очереди заявок: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866198" cy="477405"/>
            <wp:effectExtent b="0" l="0" r="0" t="0"/>
            <wp:docPr id="65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6198" cy="477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Поскольку очередь не ограничена, то вероятность отказа в обслуживании заявки ротк равна нулю, а относительная пропускная способность Q равна единице: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64210" cy="238883"/>
            <wp:effectExtent b="0" l="0" r="0" t="0"/>
            <wp:docPr id="35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238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31010" cy="228397"/>
            <wp:effectExtent b="0" l="0" r="0" t="0"/>
            <wp:docPr id="93" name="image190.png"/>
            <a:graphic>
              <a:graphicData uri="http://schemas.openxmlformats.org/drawingml/2006/picture">
                <pic:pic>
                  <pic:nvPicPr>
                    <pic:cNvPr id="0" name="image190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28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Абсолютная пропускная способность А равна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037272" cy="229625"/>
            <wp:effectExtent b="0" l="0" r="0" t="0"/>
            <wp:docPr id="2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7272" cy="22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Выражение для среднего числа заявок в очереди: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27797" cy="481467"/>
            <wp:effectExtent b="0" l="0" r="0" t="0"/>
            <wp:docPr id="24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7797" cy="481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число обслуживаемых заявок L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обс</w:t>
      </w:r>
      <w:r w:rsidDel="00000000" w:rsidR="00000000" w:rsidRPr="00000000">
        <w:rPr>
          <w:sz w:val="24"/>
          <w:szCs w:val="24"/>
          <w:rtl w:val="0"/>
        </w:rPr>
        <w:t xml:space="preserve"> определяется формулой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78498" cy="245551"/>
            <wp:effectExtent b="0" l="0" r="0" t="0"/>
            <wp:docPr id="31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8498" cy="2455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время пребывания в СМО и в очереди определяется формулами (4.9) и (4.10) (вопрос про числовые характеристики).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p7w8djs74ara" w:id="16"/>
      <w:bookmarkEnd w:id="16"/>
      <w:r w:rsidDel="00000000" w:rsidR="00000000" w:rsidRPr="00000000">
        <w:rPr>
          <w:vertAlign w:val="baseline"/>
          <w:rtl w:val="0"/>
        </w:rPr>
        <w:t xml:space="preserve">Многоканальная СМО с Ограниченной длиной очереди и ограниченным ожиданием в очереди.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Отличие от многоканальной СМО с ограниченной очередью состоит в том, что время ожидания обслуживания, когда заявка находится в очереди, считается случайной величиной, распределённой по показательному закону с параметром v = 1/t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ож</w:t>
      </w:r>
      <w:r w:rsidDel="00000000" w:rsidR="00000000" w:rsidRPr="00000000">
        <w:rPr>
          <w:sz w:val="24"/>
          <w:szCs w:val="24"/>
          <w:rtl w:val="0"/>
        </w:rPr>
        <w:t xml:space="preserve">., где 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ож</w:t>
      </w:r>
      <w:r w:rsidDel="00000000" w:rsidR="00000000" w:rsidRPr="00000000">
        <w:rPr>
          <w:sz w:val="24"/>
          <w:szCs w:val="24"/>
          <w:rtl w:val="0"/>
        </w:rPr>
        <w:t xml:space="preserve"> - среднее время ожидания заявки в очереди, а v - имеет смысл интенсивности потока ухода заявок из очереди. Граф такой СМО изображён на рис. 10.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1536700"/>
            <wp:effectExtent b="0" l="0" r="0" t="0"/>
            <wp:docPr id="85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Система является частным случаем системы рождения и гибели (см. ТМО стр 25)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Выражения для финальных вероятностей 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73002" cy="2265309"/>
            <wp:effectExtent b="0" l="0" r="0" t="0"/>
            <wp:docPr id="6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3002" cy="22653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где β = ν/μ. Вероятность образования очереди роч определяется формулой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Отказ в обслуживании заявки происходит, когда все m мест в очереди заняты, т.е. вероятность отказа в обслуживании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отк</w:t>
      </w:r>
      <w:r w:rsidDel="00000000" w:rsidR="00000000" w:rsidRPr="00000000">
        <w:rPr>
          <w:sz w:val="24"/>
          <w:szCs w:val="24"/>
          <w:rtl w:val="0"/>
        </w:rPr>
        <w:t xml:space="preserve"> равна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037397" cy="685857"/>
            <wp:effectExtent b="0" l="0" r="0" t="0"/>
            <wp:docPr id="17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7397" cy="685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Относительная пропускная способность (Q) и абсолютная пропускная способность (A) равны: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10661" cy="538163"/>
            <wp:effectExtent b="0" l="0" r="0" t="0"/>
            <wp:docPr id="69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0661" cy="538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51522" cy="243350"/>
            <wp:effectExtent b="0" l="0" r="0" t="0"/>
            <wp:docPr id="33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1522" cy="2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число заявок, находящихся в очереди: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542223" cy="701012"/>
            <wp:effectExtent b="0" l="0" r="0" t="0"/>
            <wp:docPr id="42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2223" cy="7010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число заявок, обслуживаемых в СМО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142173" cy="502485"/>
            <wp:effectExtent b="0" l="0" r="0" t="0"/>
            <wp:docPr id="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2173" cy="502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время пребывания заявки в СМО складывается из среднего времени ожидания в очереди и среднего времени обслуживания заявки, т.е.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80298" cy="591635"/>
            <wp:effectExtent b="0" l="0" r="0" t="0"/>
            <wp:docPr id="71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0298" cy="5916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pxn9z4o32p1r" w:id="17"/>
      <w:bookmarkEnd w:id="17"/>
      <w:r w:rsidDel="00000000" w:rsidR="00000000" w:rsidRPr="00000000">
        <w:rPr>
          <w:vertAlign w:val="baseline"/>
          <w:rtl w:val="0"/>
        </w:rPr>
        <w:t xml:space="preserve">n-канальная СМО замкнутого типа с m источниками заявок.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Примером такой СМО может служить завод, имеющий m станков и n слесарей– наладчиков. Требующий наладки станок либо сразу же обслуживается, если свободен хотя бы один из слесарей, либо ожидает наладки в очереди, если все слесари заняты. При этом предполагается, что m &gt; n.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Таким образом, максимальная длина очереди равна (m-n).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Интенсивность обслуживания источников заявок μ = 1/t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обс</w:t>
      </w:r>
      <w:r w:rsidDel="00000000" w:rsidR="00000000" w:rsidRPr="00000000">
        <w:rPr>
          <w:sz w:val="24"/>
          <w:szCs w:val="24"/>
          <w:rtl w:val="0"/>
        </w:rPr>
        <w:t xml:space="preserve">, где 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обс</w:t>
      </w:r>
      <w:r w:rsidDel="00000000" w:rsidR="00000000" w:rsidRPr="00000000">
        <w:rPr>
          <w:sz w:val="24"/>
          <w:szCs w:val="24"/>
          <w:rtl w:val="0"/>
        </w:rPr>
        <w:t xml:space="preserve"> - среднее время обслуживания объекта (источника заявок).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Интенсивность потока требований каждого источника заявок равна λ= 1/t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раб</w:t>
      </w:r>
      <w:r w:rsidDel="00000000" w:rsidR="00000000" w:rsidRPr="00000000">
        <w:rPr>
          <w:sz w:val="24"/>
          <w:szCs w:val="24"/>
          <w:rtl w:val="0"/>
        </w:rPr>
        <w:t xml:space="preserve">, где 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раб</w:t>
      </w:r>
      <w:r w:rsidDel="00000000" w:rsidR="00000000" w:rsidRPr="00000000">
        <w:rPr>
          <w:sz w:val="24"/>
          <w:szCs w:val="24"/>
          <w:rtl w:val="0"/>
        </w:rPr>
        <w:t xml:space="preserve"> - среднее время безотказной работы каждого объекта. Если под обслуживанием находятся k объектов, то интенсивность потока заявок в СМО будет равна (m - k)λ. Граф такой СМО представлен на рис.11.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914400"/>
            <wp:effectExtent b="0" l="0" r="0" t="0"/>
            <wp:docPr id="88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Поскольку очередь ограничена, то финальные вероятности такой системы всегда существуют. Система является частным случаем системы рождения и гибели (см. ТМО стр 28)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Формулы вероятностей: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61698" cy="1426418"/>
            <wp:effectExtent b="0" l="0" r="0" t="0"/>
            <wp:docPr id="40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1698" cy="1426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Образование очереди происходит, когда в момент поступления в СМО очередной заявки все n каналов заняты, т.е. когда в СМО будет находиться либо n, либо (n + 1),…, либо (n + m - 1) заявок. В силу несовместности этих событий вероятность образования очереди р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оч</w:t>
      </w:r>
      <w:r w:rsidDel="00000000" w:rsidR="00000000" w:rsidRPr="00000000">
        <w:rPr>
          <w:sz w:val="24"/>
          <w:szCs w:val="24"/>
          <w:rtl w:val="0"/>
        </w:rPr>
        <w:t xml:space="preserve"> будет равна: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34853" cy="504857"/>
            <wp:effectExtent b="0" l="0" r="0" t="0"/>
            <wp:docPr id="66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4853" cy="504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Поскольку отказа в обслуживании заявки нет, то p отк = 0 и относительная пропускная способность Q равна 1, а абсолютная пропускная способность: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42147" cy="282911"/>
            <wp:effectExtent b="0" l="0" r="0" t="0"/>
            <wp:docPr id="62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2147" cy="2829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03484" cy="271463"/>
            <wp:effectExtent b="0" l="0" r="0" t="0"/>
            <wp:docPr id="95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3484" cy="271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число занятых каналов </w:t>
      </w:r>
      <m:oMath>
        <m:bar>
          <m:barPr>
            <m:pos/>
          </m:barPr>
          <m:e>
            <m:sSub>
              <m:sSubPr>
                <m:ctrlPr>
                  <w:rPr>
                    <w:sz w:val="24"/>
                    <w:szCs w:val="24"/>
                  </w:rPr>
                </m:ctrlPr>
              </m:sSubPr>
              <m:e>
                <m:r>
                  <w:rPr>
                    <w:sz w:val="24"/>
                    <w:szCs w:val="24"/>
                  </w:rPr>
                  <m:t xml:space="preserve">n</m:t>
                </m:r>
              </m:e>
              <m:sub>
                <m:r>
                  <w:rPr>
                    <w:sz w:val="24"/>
                    <w:szCs w:val="24"/>
                  </w:rPr>
                  <m:t xml:space="preserve">з</m:t>
                </m:r>
              </m:sub>
            </m:sSub>
          </m:e>
        </m:bar>
      </m:oMath>
      <w:r w:rsidDel="00000000" w:rsidR="00000000" w:rsidRPr="00000000">
        <w:rPr>
          <w:sz w:val="24"/>
          <w:szCs w:val="24"/>
          <w:rtl w:val="0"/>
        </w:rPr>
        <w:t xml:space="preserve"> (оно равно L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обс</w:t>
      </w:r>
      <w:r w:rsidDel="00000000" w:rsidR="00000000" w:rsidRPr="00000000">
        <w:rPr>
          <w:sz w:val="24"/>
          <w:szCs w:val="24"/>
          <w:rtl w:val="0"/>
        </w:rPr>
        <w:t xml:space="preserve"> - среднему числу обслуживаемых заявок) находится по формуле: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408998" cy="543766"/>
            <wp:effectExtent b="0" l="0" r="0" t="0"/>
            <wp:docPr id="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8998" cy="5437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Среднее число заявок, находящихся в очереди (L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оч</w:t>
      </w:r>
      <w:r w:rsidDel="00000000" w:rsidR="00000000" w:rsidRPr="00000000">
        <w:rPr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51925" cy="509588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1925" cy="509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Cреднее число заявок, находящихся в СМО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94447" cy="416072"/>
            <wp:effectExtent b="0" l="0" r="0" t="0"/>
            <wp:docPr id="53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4447" cy="416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P.S.:Формулы 4 раздела относятся к вопросу про числовые характеристики.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3124200"/>
            <wp:effectExtent b="0" l="0" r="0" t="0"/>
            <wp:docPr id="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hh9slwu8lh1o" w:id="18"/>
      <w:bookmarkEnd w:id="18"/>
      <w:r w:rsidDel="00000000" w:rsidR="00000000" w:rsidRPr="00000000">
        <w:rPr>
          <w:rtl w:val="0"/>
        </w:rPr>
        <w:t xml:space="preserve">***</w:t>
      </w:r>
      <w:r w:rsidDel="00000000" w:rsidR="00000000" w:rsidRPr="00000000">
        <w:rPr>
          <w:vertAlign w:val="baseline"/>
          <w:rtl w:val="0"/>
        </w:rPr>
        <w:t xml:space="preserve">Сети Петри.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Сеть Петри</w:t>
      </w:r>
      <w:r w:rsidDel="00000000" w:rsidR="00000000" w:rsidRPr="00000000">
        <w:rPr>
          <w:sz w:val="24"/>
          <w:szCs w:val="24"/>
          <w:rtl w:val="0"/>
        </w:rPr>
        <w:t xml:space="preserve"> - двудольный ориентированный (ребра направленные) мультиграф (могут быть одинаковые ребра), основывается на понятии комплекта. </w:t>
      </w:r>
      <w:r w:rsidDel="00000000" w:rsidR="00000000" w:rsidRPr="00000000">
        <w:rPr>
          <w:b w:val="1"/>
          <w:sz w:val="24"/>
          <w:szCs w:val="24"/>
          <w:rtl w:val="0"/>
        </w:rPr>
        <w:t xml:space="preserve">Комплект</w:t>
      </w:r>
      <w:r w:rsidDel="00000000" w:rsidR="00000000" w:rsidRPr="00000000">
        <w:rPr>
          <w:sz w:val="24"/>
          <w:szCs w:val="24"/>
          <w:rtl w:val="0"/>
        </w:rPr>
        <w:t xml:space="preserve"> - набор элементов из области Х, допускающий присутствие одного и того же элемента несколько раз - X = {a,a,b,c}.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Число элементов во множестве обозначается как решетка: #{x, X}. При вводе ограничения Х мы можем перейти к обыкновенному множеству: 0 &lt;= #{x,X}&lt;= 1.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Операции: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Включение #(x, B) &gt; 0</w:t>
        <w:br w:type="textWrapping"/>
        <w:t xml:space="preserve">Не включено #(x, B) = 0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Пустой комплект #(x, B) = 0 ∀ х ∈ Х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А⊆В; #(x, A) ≤ #(x, B)</w:t>
        <w:br w:type="textWrapping"/>
        <w:t xml:space="preserve">A=B; #(x, A) = #(x, B)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Объединение #(x, A) ∪ #(x, B) = max{#(x, A), #(x, B)}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Пересечение #(x, A) ⋂ #(x, B) = min{#(x, A), #(x, B)}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Сложение A+B #(x,A + B) = #(x, A) + #(x, B)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1440" w:hanging="360"/>
        <w:contextualSpacing w:val="1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Разность A-B #(x,A - B) = #(x, A) - #(x, B)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Пространство комплектов</w:t>
      </w:r>
      <w:r w:rsidDel="00000000" w:rsidR="00000000" w:rsidRPr="00000000">
        <w:rPr>
          <w:sz w:val="24"/>
          <w:szCs w:val="24"/>
          <w:rtl w:val="0"/>
        </w:rPr>
        <w:t xml:space="preserve"> - элементы которого принадлежат Х и ни один из них не входит в комплект больше, чем один раз. </w:t>
      </w:r>
      <w:r w:rsidDel="00000000" w:rsidR="00000000" w:rsidRPr="00000000">
        <w:rPr>
          <w:b w:val="1"/>
          <w:sz w:val="24"/>
          <w:szCs w:val="24"/>
          <w:rtl w:val="0"/>
        </w:rPr>
        <w:t xml:space="preserve">Можность комплекта</w:t>
      </w:r>
      <w:r w:rsidDel="00000000" w:rsidR="00000000" w:rsidRPr="00000000">
        <w:rPr>
          <w:sz w:val="24"/>
          <w:szCs w:val="24"/>
          <w:rtl w:val="0"/>
        </w:rPr>
        <w:t xml:space="preserve"> - число повторений элемента в комплекте.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Определение сети Петри: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 = (P,T,I,O)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 - конечное множество позиций {p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,...,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sz w:val="24"/>
          <w:szCs w:val="24"/>
          <w:rtl w:val="0"/>
        </w:rPr>
        <w:t xml:space="preserve">}, n&gt;=0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 - конечное множество переходов {t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,...,t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m</w:t>
      </w:r>
      <w:r w:rsidDel="00000000" w:rsidR="00000000" w:rsidRPr="00000000">
        <w:rPr>
          <w:sz w:val="24"/>
          <w:szCs w:val="24"/>
          <w:rtl w:val="0"/>
        </w:rPr>
        <w:t xml:space="preserve">}, m&gt;=0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 </w:t>
      </w:r>
      <m:oMath>
        <m:nary>
          <m:naryPr>
            <m:chr m:val="∩"/>
          </m:naryPr>
          <m:sub/>
          <m:sup/>
        </m:nary>
      </m:oMath>
      <w:r w:rsidDel="00000000" w:rsidR="00000000" w:rsidRPr="00000000">
        <w:rPr>
          <w:sz w:val="24"/>
          <w:szCs w:val="24"/>
          <w:rtl w:val="0"/>
        </w:rPr>
        <w:t xml:space="preserve"> Т == пустое множество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- входная функция, отображающая множество переходов комплектов событий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- выходная функция из TP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Маркировка сети Петри μ</w:t>
      </w:r>
      <w:r w:rsidDel="00000000" w:rsidR="00000000" w:rsidRPr="00000000">
        <w:rPr>
          <w:sz w:val="24"/>
          <w:szCs w:val="24"/>
          <w:rtl w:val="0"/>
        </w:rPr>
        <w:t xml:space="preserve"> - функция, отображающая множ-во позиция Р во множество натуральных чисел N. Под </w:t>
      </w:r>
      <w:r w:rsidDel="00000000" w:rsidR="00000000" w:rsidRPr="00000000">
        <w:rPr>
          <w:b w:val="1"/>
          <w:sz w:val="24"/>
          <w:szCs w:val="24"/>
          <w:rtl w:val="0"/>
        </w:rPr>
        <w:t xml:space="preserve">маркировкой</w:t>
      </w:r>
      <w:r w:rsidDel="00000000" w:rsidR="00000000" w:rsidRPr="00000000">
        <w:rPr>
          <w:sz w:val="24"/>
          <w:szCs w:val="24"/>
          <w:rtl w:val="0"/>
        </w:rPr>
        <w:t xml:space="preserve"> можно подразумевать некоторый вектор, который выглядит: </w:t>
      </w:r>
      <w:r w:rsidDel="00000000" w:rsidR="00000000" w:rsidRPr="00000000">
        <w:rPr>
          <w:b w:val="1"/>
          <w:sz w:val="24"/>
          <w:szCs w:val="24"/>
          <w:rtl w:val="0"/>
        </w:rPr>
        <w:t xml:space="preserve">μ(μ1, μ2, …, μn) n = |P|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μi </w:t>
      </w:r>
      <w:r w:rsidDel="00000000" w:rsidR="00000000" w:rsidRPr="00000000">
        <w:rPr>
          <w:sz w:val="24"/>
          <w:szCs w:val="24"/>
          <w:rtl w:val="0"/>
        </w:rPr>
        <w:t xml:space="preserve">определяет количество фишек (маркеров) в каждой позиции.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Фишки, находящиеся во входной позиции, допускающие переход, называются разрешающими фишками.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Переход t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 разрешен, если </w:t>
      </w:r>
      <m:oMath>
        <m:r>
          <m:t>μ</m:t>
        </m:r>
      </m:oMath>
      <w:r w:rsidDel="00000000" w:rsidR="00000000" w:rsidRPr="00000000">
        <w:rPr>
          <w:sz w:val="24"/>
          <w:szCs w:val="24"/>
          <w:vertAlign w:val="subscript"/>
          <w:rtl w:val="0"/>
        </w:rPr>
        <w:t xml:space="preserve">i</w:t>
      </w:r>
      <m:oMath>
        <m:r>
          <w:rPr>
            <w:sz w:val="24"/>
            <w:szCs w:val="24"/>
          </w:rPr>
          <m:t xml:space="preserve">=</m:t>
        </m:r>
        <m:r>
          <w:rPr>
            <w:sz w:val="24"/>
            <w:szCs w:val="24"/>
          </w:rPr>
          <m:t>μ</m:t>
        </m:r>
      </m:oMath>
      <w:r w:rsidDel="00000000" w:rsidR="00000000" w:rsidRPr="00000000">
        <w:rPr>
          <w:sz w:val="24"/>
          <w:szCs w:val="24"/>
          <w:rtl w:val="0"/>
        </w:rPr>
        <w:t xml:space="preserve">(p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) </w:t>
      </w:r>
      <m:oMath>
        <m:r>
          <w:rPr>
            <w:sz w:val="24"/>
            <w:szCs w:val="24"/>
          </w:rPr>
          <m:t xml:space="preserve">≥#(p</m:t>
        </m:r>
        <m:r>
          <w:rPr>
            <w:sz w:val="24"/>
            <w:szCs w:val="24"/>
            <w:vertAlign w:val="subscript"/>
          </w:rPr>
          <m:t xml:space="preserve">i, I(ti))</m:t>
        </m:r>
      </m:oMath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∀ p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rFonts w:ascii="Gungsuh" w:cs="Gungsuh" w:eastAsia="Gungsuh" w:hAnsi="Gungsuh"/>
          <w:sz w:val="24"/>
          <w:szCs w:val="24"/>
          <w:rtl w:val="0"/>
        </w:rPr>
        <w:t xml:space="preserve"> ∈ P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Фишки для количества запросов. При выполнении состояния 1 фишка отдается условию, от условия по одной отдается всем состояниям.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m0g21cka5zaf" w:id="19"/>
      <w:bookmarkEnd w:id="19"/>
      <w:r w:rsidDel="00000000" w:rsidR="00000000" w:rsidRPr="00000000">
        <w:rPr>
          <w:rtl w:val="0"/>
        </w:rPr>
        <w:t xml:space="preserve">***</w:t>
      </w:r>
      <w:r w:rsidDel="00000000" w:rsidR="00000000" w:rsidRPr="00000000">
        <w:rPr>
          <w:vertAlign w:val="baseline"/>
          <w:rtl w:val="0"/>
        </w:rPr>
        <w:t xml:space="preserve">Моделирование биологических систем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rFonts w:ascii="Roboto" w:cs="Roboto" w:eastAsia="Roboto" w:hAnsi="Roboto"/>
          <w:color w:val="444444"/>
        </w:rPr>
      </w:pPr>
      <w:r w:rsidDel="00000000" w:rsidR="00000000" w:rsidRPr="00000000">
        <w:rPr>
          <w:sz w:val="24"/>
          <w:szCs w:val="24"/>
          <w:rtl w:val="0"/>
        </w:rPr>
        <w:t xml:space="preserve">Источник: </w:t>
      </w:r>
      <w:hyperlink r:id="rId100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https://goo.gl/wQZGAK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Одновидовая теория Мальтуса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hyperlink r:id="rId10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http://mialo.narod.ru/ped/models/popul.htm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Память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Кривая забывания и научения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36"/>
          <w:szCs w:val="36"/>
        </w:rPr>
      </w:pPr>
      <m:oMath>
        <m:r>
          <w:rPr>
            <w:sz w:val="36"/>
            <w:szCs w:val="36"/>
          </w:rPr>
          <m:t xml:space="preserve">x(t)=</m:t>
        </m:r>
        <m:sSup>
          <m:sSupPr>
            <m:ctrlPr>
              <w:rPr>
                <w:sz w:val="36"/>
                <w:szCs w:val="36"/>
              </w:rPr>
            </m:ctrlPr>
          </m:sSupPr>
          <m:e>
            <m:r>
              <w:rPr>
                <w:sz w:val="36"/>
                <w:szCs w:val="36"/>
              </w:rPr>
              <m:t xml:space="preserve">e</m:t>
            </m:r>
          </m:e>
          <m:sup>
            <m:r>
              <w:rPr>
                <w:sz w:val="36"/>
                <w:szCs w:val="36"/>
              </w:rPr>
              <m:t xml:space="preserve">-x</m:t>
            </m:r>
          </m:sup>
        </m:sSup>
      </m:oMath>
      <w:r w:rsidDel="00000000" w:rsidR="00000000" w:rsidRPr="00000000">
        <w:rPr>
          <w:sz w:val="36"/>
          <w:szCs w:val="36"/>
          <w:rtl w:val="0"/>
        </w:rPr>
        <w:tab/>
      </w:r>
      <m:oMath>
        <m:r>
          <w:rPr>
            <w:sz w:val="36"/>
            <w:szCs w:val="36"/>
          </w:rPr>
          <m:t xml:space="preserve">x(t)=a+b*</m:t>
        </m:r>
        <m:sSup>
          <m:sSupPr>
            <m:ctrlPr>
              <w:rPr>
                <w:sz w:val="36"/>
                <w:szCs w:val="36"/>
              </w:rPr>
            </m:ctrlPr>
          </m:sSupPr>
          <m:e>
            <m:r>
              <w:rPr>
                <w:sz w:val="36"/>
                <w:szCs w:val="36"/>
              </w:rPr>
              <m:t xml:space="preserve">e</m:t>
            </m:r>
          </m:e>
          <m:sup>
            <m:r>
              <w:rPr>
                <w:sz w:val="36"/>
                <w:szCs w:val="36"/>
              </w:rPr>
              <m:t xml:space="preserve">-x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firstLine="720"/>
        <w:contextualSpacing w:val="0"/>
        <w:jc w:val="both"/>
        <w:rPr>
          <w:sz w:val="36"/>
          <w:szCs w:val="36"/>
        </w:rPr>
      </w:pPr>
      <m:oMath>
        <m:r>
          <w:rPr>
            <w:sz w:val="36"/>
            <w:szCs w:val="36"/>
          </w:rPr>
          <m:t xml:space="preserve">x(t)=1-</m:t>
        </m:r>
        <m:sSup>
          <m:sSupPr>
            <m:ctrlPr>
              <w:rPr>
                <w:sz w:val="36"/>
                <w:szCs w:val="36"/>
              </w:rPr>
            </m:ctrlPr>
          </m:sSupPr>
          <m:e>
            <m:r>
              <w:rPr>
                <w:sz w:val="36"/>
                <w:szCs w:val="36"/>
              </w:rPr>
              <m:t xml:space="preserve">e</m:t>
            </m:r>
          </m:e>
          <m:sup>
            <m:r>
              <w:rPr>
                <w:sz w:val="36"/>
                <w:szCs w:val="36"/>
              </w:rPr>
              <m:t xml:space="preserve">-x</m:t>
            </m:r>
          </m:sup>
        </m:sSup>
      </m:oMath>
      <w:r w:rsidDel="00000000" w:rsidR="00000000" w:rsidRPr="00000000">
        <w:rPr>
          <w:sz w:val="36"/>
          <w:szCs w:val="36"/>
          <w:rtl w:val="0"/>
        </w:rPr>
        <w:tab/>
      </w:r>
      <m:oMath>
        <m:r>
          <w:rPr>
            <w:sz w:val="36"/>
            <w:szCs w:val="36"/>
          </w:rPr>
          <m:t xml:space="preserve">x(t)=</m:t>
        </m:r>
        <m:f>
          <m:fPr>
            <m:ctrlPr>
              <w:rPr>
                <w:sz w:val="36"/>
                <w:szCs w:val="36"/>
              </w:rPr>
            </m:ctrlPr>
          </m:fPr>
          <m:num>
            <m:r>
              <w:rPr>
                <w:sz w:val="36"/>
                <w:szCs w:val="36"/>
              </w:rPr>
              <m:t xml:space="preserve">a*</m:t>
            </m:r>
            <m:sSup>
              <m:sSupPr>
                <m:ctrlPr>
                  <w:rPr>
                    <w:sz w:val="36"/>
                    <w:szCs w:val="36"/>
                  </w:rPr>
                </m:ctrlPr>
              </m:sSupPr>
              <m:e>
                <m:r>
                  <w:rPr>
                    <w:sz w:val="36"/>
                    <w:szCs w:val="36"/>
                  </w:rPr>
                  <m:t xml:space="preserve">e</m:t>
                </m:r>
              </m:e>
              <m:sup>
                <m:r>
                  <w:rPr>
                    <w:sz w:val="36"/>
                    <w:szCs w:val="36"/>
                  </w:rPr>
                  <m:t xml:space="preserve">-x</m:t>
                </m:r>
              </m:sup>
            </m:sSup>
          </m:num>
          <m:den>
            <m:r>
              <w:rPr>
                <w:sz w:val="36"/>
                <w:szCs w:val="36"/>
              </w:rPr>
              <m:t xml:space="preserve">b+</m:t>
            </m:r>
            <m:sSup>
              <m:sSupPr>
                <m:ctrlPr>
                  <w:rPr>
                    <w:sz w:val="36"/>
                    <w:szCs w:val="36"/>
                  </w:rPr>
                </m:ctrlPr>
              </m:sSupPr>
              <m:e>
                <m:r>
                  <w:rPr>
                    <w:sz w:val="36"/>
                    <w:szCs w:val="36"/>
                  </w:rPr>
                  <m:t xml:space="preserve">e</m:t>
                </m:r>
              </m:e>
              <m:sup>
                <m:r>
                  <w:rPr>
                    <w:sz w:val="36"/>
                    <w:szCs w:val="36"/>
                  </w:rPr>
                  <m:t xml:space="preserve">-x</m:t>
                </m:r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Виды памяти: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СР (среднерегистровая)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КП (кратковременная)</w:t>
      </w:r>
    </w:p>
    <w:p w:rsidR="00000000" w:rsidDel="00000000" w:rsidP="00000000" w:rsidRDefault="00000000" w:rsidRPr="0000000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contextualSpacing w:val="1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ДП (долговременная)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Ферхюльет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36"/>
          <w:szCs w:val="36"/>
        </w:rPr>
      </w:pPr>
      <m:oMath>
        <m:f>
          <m:fPr>
            <m:ctrlPr>
              <w:rPr>
                <w:sz w:val="36"/>
                <w:szCs w:val="36"/>
              </w:rPr>
            </m:ctrlPr>
          </m:fPr>
          <m:num>
            <m:r>
              <w:rPr>
                <w:sz w:val="36"/>
                <w:szCs w:val="36"/>
              </w:rPr>
              <m:t xml:space="preserve">dx</m:t>
            </m:r>
          </m:num>
          <m:den>
            <m:r>
              <w:rPr>
                <w:sz w:val="36"/>
                <w:szCs w:val="36"/>
              </w:rPr>
              <m:t xml:space="preserve">dt</m:t>
            </m:r>
          </m:den>
        </m:f>
        <m:r>
          <w:rPr>
            <w:sz w:val="36"/>
            <w:szCs w:val="36"/>
          </w:rPr>
          <m:t xml:space="preserve">= g(x(t))*</m:t>
        </m:r>
        <m:f>
          <m:fPr>
            <m:ctrlPr>
              <w:rPr>
                <w:sz w:val="36"/>
                <w:szCs w:val="36"/>
              </w:rPr>
            </m:ctrlPr>
          </m:fPr>
          <m:num>
            <m:r>
              <w:rPr>
                <w:sz w:val="36"/>
                <w:szCs w:val="36"/>
              </w:rPr>
              <m:t xml:space="preserve">1-x(t)</m:t>
            </m:r>
          </m:num>
          <m:den>
            <m:r>
              <w:rPr>
                <w:sz w:val="36"/>
                <w:szCs w:val="36"/>
              </w:rPr>
              <m:t xml:space="preserve">k</m:t>
            </m:r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x(l) - количество информации в l памяти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х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ij</w:t>
      </w:r>
      <w:r w:rsidDel="00000000" w:rsidR="00000000" w:rsidRPr="00000000">
        <w:rPr>
          <w:sz w:val="24"/>
          <w:szCs w:val="24"/>
          <w:rtl w:val="0"/>
        </w:rPr>
        <w:t xml:space="preserve">(l) - скорость потока информации из j в l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01</w:t>
      </w:r>
      <w:r w:rsidDel="00000000" w:rsidR="00000000" w:rsidRPr="00000000">
        <w:rPr>
          <w:sz w:val="24"/>
          <w:szCs w:val="24"/>
          <w:rtl w:val="0"/>
        </w:rPr>
        <w:t xml:space="preserve"> - скорость потока информации из окружающей среды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10</w:t>
      </w:r>
      <w:r w:rsidDel="00000000" w:rsidR="00000000" w:rsidRPr="00000000">
        <w:rPr>
          <w:sz w:val="24"/>
          <w:szCs w:val="24"/>
          <w:rtl w:val="0"/>
        </w:rPr>
        <w:t xml:space="preserve"> - скорость потока информации из окр ср не воспринятой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g(l)скорость переработки информации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</w:t>
      </w:r>
      <w:r w:rsidDel="00000000" w:rsidR="00000000" w:rsidRPr="00000000">
        <w:rPr>
          <w:sz w:val="24"/>
          <w:szCs w:val="24"/>
          <w:rtl w:val="0"/>
        </w:rPr>
        <w:t xml:space="preserve">(l) - скорость забывания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Логистический коэффициент s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48"/>
          <w:szCs w:val="48"/>
        </w:rPr>
      </w:pPr>
      <m:oMath>
        <m:r>
          <w:rPr>
            <w:sz w:val="48"/>
            <w:szCs w:val="48"/>
          </w:rPr>
          <m:t xml:space="preserve">s=1-</m:t>
        </m:r>
        <m:f>
          <m:fPr>
            <m:ctrlPr>
              <w:rPr>
                <w:sz w:val="48"/>
                <w:szCs w:val="48"/>
              </w:rPr>
            </m:ctrlPr>
          </m:fPr>
          <m:num>
            <m:r>
              <w:rPr>
                <w:sz w:val="48"/>
                <w:szCs w:val="48"/>
              </w:rPr>
              <m:t xml:space="preserve">1</m:t>
            </m:r>
          </m:num>
          <m:den>
            <m:r>
              <w:rPr>
                <w:sz w:val="48"/>
                <w:szCs w:val="48"/>
              </w:rPr>
              <m:t xml:space="preserve">1+</m:t>
            </m:r>
            <m:sSup>
              <m:sSupPr>
                <m:ctrlPr>
                  <w:rPr>
                    <w:sz w:val="48"/>
                    <w:szCs w:val="48"/>
                  </w:rPr>
                </m:ctrlPr>
              </m:sSupPr>
              <m:e>
                <m:r>
                  <w:rPr>
                    <w:sz w:val="48"/>
                    <w:szCs w:val="48"/>
                  </w:rPr>
                  <m:t xml:space="preserve">e</m:t>
                </m:r>
              </m:e>
              <m:sup>
                <m:f>
                  <m:fPr>
                    <m:ctrlPr>
                      <w:rPr>
                        <w:sz w:val="48"/>
                        <w:szCs w:val="48"/>
                      </w:rPr>
                    </m:ctrlPr>
                  </m:fPr>
                  <m:num>
                    <m:r>
                      <w:rPr>
                        <w:sz w:val="48"/>
                        <w:szCs w:val="48"/>
                      </w:rPr>
                      <m:t xml:space="preserve">-x+e</m:t>
                    </m:r>
                  </m:num>
                  <m:den>
                    <m:r>
                      <w:rPr>
                        <w:sz w:val="48"/>
                        <w:szCs w:val="48"/>
                      </w:rPr>
                      <m:t xml:space="preserve">y</m:t>
                    </m:r>
                  </m:den>
                </m:f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g(x,c,v)=e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48"/>
          <w:szCs w:val="48"/>
        </w:rPr>
      </w:pPr>
      <m:oMath>
        <m:sSubSup>
          <m:sSubSupPr>
            <m:ctrlPr>
              <w:rPr>
                <w:sz w:val="48"/>
                <w:szCs w:val="48"/>
              </w:rPr>
            </m:ctrlPr>
          </m:sSubSupPr>
          <m:e>
            <m:r>
              <w:rPr>
                <w:sz w:val="48"/>
                <w:szCs w:val="48"/>
              </w:rPr>
              <m:t xml:space="preserve">-c</m:t>
            </m:r>
          </m:e>
          <m:sub>
            <m:r>
              <w:rPr>
                <w:sz w:val="48"/>
                <w:szCs w:val="48"/>
              </w:rPr>
              <m:t xml:space="preserve">1</m:t>
            </m:r>
          </m:sub>
          <m:sup>
            <m:r>
              <w:rPr>
                <w:sz w:val="48"/>
                <w:szCs w:val="48"/>
              </w:rPr>
              <m:t xml:space="preserve">x</m:t>
            </m:r>
          </m:sup>
        </m:sSubSup>
        <m:r>
          <w:rPr>
            <w:sz w:val="48"/>
            <w:szCs w:val="48"/>
          </w:rPr>
          <m:t xml:space="preserve">*</m:t>
        </m:r>
        <m:sSup>
          <m:sSupPr>
            <m:ctrlPr>
              <w:rPr>
                <w:sz w:val="48"/>
                <w:szCs w:val="48"/>
              </w:rPr>
            </m:ctrlPr>
          </m:sSupPr>
          <m:e>
            <m:r>
              <w:rPr>
                <w:sz w:val="48"/>
                <w:szCs w:val="48"/>
              </w:rPr>
              <m:t xml:space="preserve">(</m:t>
            </m:r>
            <m:f>
              <m:fPr>
                <m:ctrlPr>
                  <w:rPr>
                    <w:sz w:val="48"/>
                    <w:szCs w:val="48"/>
                  </w:rPr>
                </m:ctrlPr>
              </m:fPr>
              <m:num>
                <m:r>
                  <w:rPr>
                    <w:sz w:val="48"/>
                    <w:szCs w:val="48"/>
                  </w:rPr>
                  <m:t xml:space="preserve">x</m:t>
                </m:r>
              </m:num>
              <m:den>
                <m:r>
                  <w:rPr>
                    <w:sz w:val="48"/>
                    <w:szCs w:val="48"/>
                  </w:rPr>
                  <m:t xml:space="preserve">c</m:t>
                </m:r>
              </m:den>
            </m:f>
            <m:r>
              <w:rPr>
                <w:sz w:val="48"/>
                <w:szCs w:val="48"/>
              </w:rPr>
              <m:t xml:space="preserve">-1)</m:t>
            </m:r>
          </m:e>
          <m:sup>
            <m:f>
              <m:fPr>
                <m:ctrlPr>
                  <w:rPr>
                    <w:sz w:val="48"/>
                    <w:szCs w:val="48"/>
                  </w:rPr>
                </m:ctrlPr>
              </m:fPr>
              <m:num>
                <m:r>
                  <w:rPr>
                    <w:sz w:val="48"/>
                    <w:szCs w:val="48"/>
                  </w:rPr>
                  <m:t xml:space="preserve">2</m:t>
                </m:r>
              </m:num>
              <m:den>
                <m:r>
                  <w:rPr>
                    <w:sz w:val="48"/>
                    <w:szCs w:val="48"/>
                  </w:rPr>
                  <m:t xml:space="preserve">v</m:t>
                </m:r>
              </m:den>
            </m:f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Хорошо запоминаем если: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готовы к восприятию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эта информация неизвестна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Модели взаимодействия 2 популяций Вольтерра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уравнения взаимодействия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dx1/dt=a1x1+b12x1x2-c1x^2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dx^2/dt=a2x2+b21x1x2-c2x2^2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коэф а - коэф собственной скорости роста вида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ij</w:t>
      </w:r>
      <w:r w:rsidDel="00000000" w:rsidR="00000000" w:rsidRPr="00000000">
        <w:rPr>
          <w:sz w:val="24"/>
          <w:szCs w:val="24"/>
          <w:rtl w:val="0"/>
        </w:rPr>
        <w:t xml:space="preserve"> - коэф взаимодействия видов (тип взаимодействий определяет), с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,с</w:t>
      </w:r>
      <w:r w:rsidDel="00000000" w:rsidR="00000000" w:rsidRPr="00000000">
        <w:rPr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sz w:val="24"/>
          <w:szCs w:val="24"/>
          <w:rtl w:val="0"/>
        </w:rPr>
        <w:t xml:space="preserve"> - const самоограничения численности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13475" cy="3060700"/>
            <wp:effectExtent b="0" l="0" r="0" t="0"/>
            <wp:docPr id="51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Колмагоров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dx/dt=K1(x)x-L(x)y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dx/dt=K2(x)y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L(x) - сколько жертв съел один хищник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х зависит от времени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Положения Колмогорова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Хищники одного вида не взаимодействуют друг с другом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Функции К1,К2,L(x) положительны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Если K1(x)x &lt; 0, то численность хищников будет уменьшаться из-за отсутствия природных ресурсов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Если число жертв растет K2(x)y, то говорится, что коэф размножения хищников будет уменьшаться.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Взаимодействие 2 видов насекомых: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1971 MacArthur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dx/dt = x(-K1+K2x-x^2+K3xy)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dx/dt = y(K5-K6-K7x+K8xy)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xy - биомасса 2 видов насекомых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х поедают личинки y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взрослые y поедают личинки x при условии высокой численности обоих видов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если х мало, то смертность х выше прироста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K8xy - прирост биомассы y за счет х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15052" cy="3500438"/>
            <wp:effectExtent b="0" l="0" r="0" t="0"/>
            <wp:docPr id="76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052" cy="3500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Фазовые портреты системы Колмогорова (9.12), описывающей взаимодействие двух видов при разных соотношениях параметров.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Точка бифуркации</w:t>
      </w:r>
      <w:r w:rsidDel="00000000" w:rsidR="00000000" w:rsidRPr="00000000">
        <w:rPr>
          <w:sz w:val="24"/>
          <w:szCs w:val="24"/>
          <w:rtl w:val="0"/>
        </w:rPr>
        <w:t xml:space="preserve"> - критическое состояние системы, при котором система становится неустойчивой относительно флуктуаций и возникает неопределенность: станет ли состояние системы хаотическим или она перейдет на новый, более дифференцированный и высокий уровень упорядоченности. 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Условия возникновения точек бифуркации</w:t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contextualSpacing w:val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ind w:firstLine="720"/>
        <w:contextualSpacing w:val="0"/>
        <w:jc w:val="both"/>
        <w:rPr>
          <w:vertAlign w:val="baseline"/>
        </w:rPr>
      </w:pPr>
      <w:bookmarkStart w:colFirst="0" w:colLast="0" w:name="_9qiyenvo2ek9" w:id="20"/>
      <w:bookmarkEnd w:id="20"/>
      <w:r w:rsidDel="00000000" w:rsidR="00000000" w:rsidRPr="00000000">
        <w:rPr>
          <w:vertAlign w:val="baseline"/>
          <w:rtl w:val="0"/>
        </w:rPr>
        <w:t xml:space="preserve">Использование сетей Петри и методов СМО по направлению информационная безопасность.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  <w:vertAlign w:val="baseline"/>
        </w:rPr>
      </w:pPr>
      <w:r w:rsidDel="00000000" w:rsidR="00000000" w:rsidRPr="00000000">
        <w:rPr>
          <w:rtl w:val="0"/>
        </w:rPr>
        <w:t xml:space="preserve">для моделирования способов распараллеливания алгоритмов защиты информации в системах с массивно-параллельными сопроцессорами</w:t>
        <w:br w:type="textWrapping"/>
      </w:r>
      <w:r w:rsidDel="00000000" w:rsidR="00000000" w:rsidRPr="00000000">
        <w:rPr/>
        <w:drawing>
          <wp:inline distB="114300" distT="114300" distL="114300" distR="114300">
            <wp:extent cx="6213475" cy="4178300"/>
            <wp:effectExtent b="0" l="0" r="0" t="0"/>
            <wp:docPr id="3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/>
        <w:drawing>
          <wp:inline distB="114300" distT="114300" distL="114300" distR="114300">
            <wp:extent cx="6213475" cy="546100"/>
            <wp:effectExtent b="0" l="0" r="0" t="0"/>
            <wp:docPr id="75" name="image165.png"/>
            <a:graphic>
              <a:graphicData uri="http://schemas.openxmlformats.org/drawingml/2006/picture">
                <pic:pic>
                  <pic:nvPicPr>
                    <pic:cNvPr id="0" name="image16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54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 еще вот это</w:t>
        <w:br w:type="textWrapping"/>
      </w:r>
      <w:r w:rsidDel="00000000" w:rsidR="00000000" w:rsidRPr="00000000">
        <w:rPr/>
        <w:drawing>
          <wp:inline distB="114300" distT="114300" distL="114300" distR="114300">
            <wp:extent cx="6213475" cy="3162300"/>
            <wp:effectExtent b="0" l="0" r="0" t="0"/>
            <wp:docPr id="25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Моделирование коммутируемой локальной сети раскрашенными сетями Петри</w:t>
        <w:br w:type="textWrapping"/>
        <w:t xml:space="preserve">Следует отметить, что сети Петри представляют собой мощное и удобное средство исследования инфокоммуникаций, имеющее следующие преимущества: наглядное графическое представление; возможность применять как аналитические так и имитационные методы исследования; набор расширений базовой модели с высокой изобразительной мощностью; средства исследования как поведенческих так и статистических характеристик; возможность комплексной отладки модели объекта и алгоритма управления; средства построения сложных моделей большой размерности; аппаратные реализации процессоров сетей Петри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ЗАЩИТА ПРОГРАММНЫХ СРЕДСТВ С ИСПОЛЬЗОВАНИЕМ СЕТЕЙ ПЕТРИ</w:t>
        <w:br w:type="textWrapping"/>
        <w:t xml:space="preserve">Таким образом, анализ разработанных сетей Петри для ввода и проверки части ключа защиты про-граммного средства, а также их аналога позволяет утверждать, что аппарат сетей Петри предоставляет возможность реализации сколь угодно сложных средств защиты благодаря вариативности структур эле-ментарных фрагментов, возможность их автоматического наращивания для увеличения размера ключа и введения в защиту информационной избыточности. Следует также добавить, что в данной статье рас-сматривалось использование конкретных видов сетей Петри – ингибиторных и приоритетных. За рамка-ми приведенного материала остались прочие разновидности: вероятностные и цветные сети Петри, воз-можность использование которых для решения задач создания эффективной защиты программных средств также не вызывает сомнения.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МОДЕЛЬ СИСТЕМЫ ОБНАРУЖЕНИЯ УДАЛЕННЫХ СЕТЕВЫХ АТАК НА ОСНОВЕ СЕТИ ПЕТРИ</w:t>
        <w:br w:type="textWrapping"/>
        <w:t xml:space="preserve">Представим систему обнаружения вторжений в виде сети Петри с последующим ее анализом для получения важной информации о структуре и динамическом поведении моделируемой системы. Эта информация может использоваться для оценки моделируемой системы и выработки предложений по ее усовершенствованию.</w:t>
        <w:br w:type="textWrapping"/>
      </w:r>
      <w:r w:rsidDel="00000000" w:rsidR="00000000" w:rsidRPr="00000000">
        <w:rPr/>
        <w:drawing>
          <wp:inline distB="114300" distT="114300" distL="114300" distR="114300">
            <wp:extent cx="4324350" cy="1495425"/>
            <wp:effectExtent b="0" l="0" r="0" t="0"/>
            <wp:docPr id="2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Моделирование с использованием сетей Петри защищенной передачи данных в пиринговых сетях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МОДЕЛИРОВАНИЕ СИСТЕМЫ ИНФОРМАЦИОННОЙ БЕЗОПАСНОСТИ ПОТЕНЦИАЛЬНО ОПАСНОГО ОБЪЕКТА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МЕТОД КОНТРОЛЯ И УПРАВЛЕНИЯ ДОСТУПОМ В РАСПРЕДЕЛЕННЫХ ВЫЧИСЛИТЕЛЬНЫХ СЕТЯХ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Остальные темы, если хотите, сами дописывайте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  <w:t xml:space="preserve">УДАЧИ НА ЭКЗАМЕНЕ</w:t>
        <w:br w:type="textWrapping"/>
      </w:r>
      <w:r w:rsidDel="00000000" w:rsidR="00000000" w:rsidRPr="00000000">
        <w:rPr/>
        <w:drawing>
          <wp:inline distB="114300" distT="114300" distL="114300" distR="114300">
            <wp:extent cx="4572000" cy="3429000"/>
            <wp:effectExtent b="0" l="0" r="0" t="0"/>
            <wp:docPr id="55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8" w:w="11906"/>
      <w:pgMar w:bottom="1440" w:top="1440" w:left="1134" w:right="99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  <w:font w:name="Courier New"/>
  <w:font w:name="Verdana"/>
  <w:font w:name="Gungsuh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lang w:val="ru-RU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3.png"/><Relationship Id="rId42" Type="http://schemas.openxmlformats.org/officeDocument/2006/relationships/image" Target="media/image32.png"/><Relationship Id="rId41" Type="http://schemas.openxmlformats.org/officeDocument/2006/relationships/image" Target="media/image172.png"/><Relationship Id="rId44" Type="http://schemas.openxmlformats.org/officeDocument/2006/relationships/image" Target="media/image126.png"/><Relationship Id="rId43" Type="http://schemas.openxmlformats.org/officeDocument/2006/relationships/hyperlink" Target="https://goo.gl/SC54Av" TargetMode="External"/><Relationship Id="rId46" Type="http://schemas.openxmlformats.org/officeDocument/2006/relationships/hyperlink" Target="https://goo.gl/9aHYZv" TargetMode="External"/><Relationship Id="rId45" Type="http://schemas.openxmlformats.org/officeDocument/2006/relationships/image" Target="media/image95.png"/><Relationship Id="rId107" Type="http://schemas.openxmlformats.org/officeDocument/2006/relationships/image" Target="media/image52.png"/><Relationship Id="rId106" Type="http://schemas.openxmlformats.org/officeDocument/2006/relationships/image" Target="media/image60.png"/><Relationship Id="rId105" Type="http://schemas.openxmlformats.org/officeDocument/2006/relationships/image" Target="media/image165.png"/><Relationship Id="rId104" Type="http://schemas.openxmlformats.org/officeDocument/2006/relationships/image" Target="media/image68.png"/><Relationship Id="rId108" Type="http://schemas.openxmlformats.org/officeDocument/2006/relationships/image" Target="media/image120.png"/><Relationship Id="rId48" Type="http://schemas.openxmlformats.org/officeDocument/2006/relationships/image" Target="media/image28.png"/><Relationship Id="rId47" Type="http://schemas.openxmlformats.org/officeDocument/2006/relationships/image" Target="media/image103.png"/><Relationship Id="rId49" Type="http://schemas.openxmlformats.org/officeDocument/2006/relationships/image" Target="media/image150.png"/><Relationship Id="rId103" Type="http://schemas.openxmlformats.org/officeDocument/2006/relationships/image" Target="media/image167.png"/><Relationship Id="rId102" Type="http://schemas.openxmlformats.org/officeDocument/2006/relationships/image" Target="media/image112.png"/><Relationship Id="rId101" Type="http://schemas.openxmlformats.org/officeDocument/2006/relationships/hyperlink" Target="http://mialo.narod.ru/ped/models/popul.htm" TargetMode="External"/><Relationship Id="rId100" Type="http://schemas.openxmlformats.org/officeDocument/2006/relationships/hyperlink" Target="https://goo.gl/wQZGAK" TargetMode="External"/><Relationship Id="rId31" Type="http://schemas.openxmlformats.org/officeDocument/2006/relationships/image" Target="media/image31.png"/><Relationship Id="rId30" Type="http://schemas.openxmlformats.org/officeDocument/2006/relationships/image" Target="media/image75.png"/><Relationship Id="rId33" Type="http://schemas.openxmlformats.org/officeDocument/2006/relationships/image" Target="media/image141.png"/><Relationship Id="rId32" Type="http://schemas.openxmlformats.org/officeDocument/2006/relationships/image" Target="media/image98.png"/><Relationship Id="rId35" Type="http://schemas.openxmlformats.org/officeDocument/2006/relationships/image" Target="media/image77.png"/><Relationship Id="rId34" Type="http://schemas.openxmlformats.org/officeDocument/2006/relationships/image" Target="media/image61.png"/><Relationship Id="rId37" Type="http://schemas.openxmlformats.org/officeDocument/2006/relationships/image" Target="media/image177.png"/><Relationship Id="rId36" Type="http://schemas.openxmlformats.org/officeDocument/2006/relationships/image" Target="media/image46.png"/><Relationship Id="rId39" Type="http://schemas.openxmlformats.org/officeDocument/2006/relationships/image" Target="media/image195.png"/><Relationship Id="rId38" Type="http://schemas.openxmlformats.org/officeDocument/2006/relationships/image" Target="media/image119.png"/><Relationship Id="rId20" Type="http://schemas.openxmlformats.org/officeDocument/2006/relationships/image" Target="media/image78.png"/><Relationship Id="rId22" Type="http://schemas.openxmlformats.org/officeDocument/2006/relationships/image" Target="media/image153.png"/><Relationship Id="rId21" Type="http://schemas.openxmlformats.org/officeDocument/2006/relationships/image" Target="media/image41.png"/><Relationship Id="rId24" Type="http://schemas.openxmlformats.org/officeDocument/2006/relationships/image" Target="media/image124.png"/><Relationship Id="rId23" Type="http://schemas.openxmlformats.org/officeDocument/2006/relationships/image" Target="media/image76.png"/><Relationship Id="rId26" Type="http://schemas.openxmlformats.org/officeDocument/2006/relationships/image" Target="media/image71.png"/><Relationship Id="rId25" Type="http://schemas.openxmlformats.org/officeDocument/2006/relationships/image" Target="media/image128.png"/><Relationship Id="rId28" Type="http://schemas.openxmlformats.org/officeDocument/2006/relationships/image" Target="media/image116.png"/><Relationship Id="rId27" Type="http://schemas.openxmlformats.org/officeDocument/2006/relationships/image" Target="media/image57.png"/><Relationship Id="rId29" Type="http://schemas.openxmlformats.org/officeDocument/2006/relationships/image" Target="media/image5.png"/><Relationship Id="rId95" Type="http://schemas.openxmlformats.org/officeDocument/2006/relationships/image" Target="media/image192.png"/><Relationship Id="rId94" Type="http://schemas.openxmlformats.org/officeDocument/2006/relationships/image" Target="media/image132.png"/><Relationship Id="rId97" Type="http://schemas.openxmlformats.org/officeDocument/2006/relationships/image" Target="media/image3.png"/><Relationship Id="rId96" Type="http://schemas.openxmlformats.org/officeDocument/2006/relationships/image" Target="media/image24.png"/><Relationship Id="rId11" Type="http://schemas.openxmlformats.org/officeDocument/2006/relationships/image" Target="media/image131.png"/><Relationship Id="rId99" Type="http://schemas.openxmlformats.org/officeDocument/2006/relationships/image" Target="media/image29.png"/><Relationship Id="rId10" Type="http://schemas.openxmlformats.org/officeDocument/2006/relationships/image" Target="media/image188.png"/><Relationship Id="rId98" Type="http://schemas.openxmlformats.org/officeDocument/2006/relationships/image" Target="media/image118.png"/><Relationship Id="rId13" Type="http://schemas.openxmlformats.org/officeDocument/2006/relationships/image" Target="media/image173.png"/><Relationship Id="rId12" Type="http://schemas.openxmlformats.org/officeDocument/2006/relationships/hyperlink" Target="https://dic.academic.ru/dic.nsf/stroitel/2827/%D0%9C%D0%9E%D0%94%D0%95%D0%9B%D0%AC_%D0%A1%D0%98%D0%A1%D0%A2%D0%95%D0%9C%D0%AB" TargetMode="External"/><Relationship Id="rId91" Type="http://schemas.openxmlformats.org/officeDocument/2006/relationships/image" Target="media/image184.png"/><Relationship Id="rId90" Type="http://schemas.openxmlformats.org/officeDocument/2006/relationships/image" Target="media/image148.png"/><Relationship Id="rId93" Type="http://schemas.openxmlformats.org/officeDocument/2006/relationships/image" Target="media/image137.png"/><Relationship Id="rId92" Type="http://schemas.openxmlformats.org/officeDocument/2006/relationships/image" Target="media/image84.png"/><Relationship Id="rId15" Type="http://schemas.openxmlformats.org/officeDocument/2006/relationships/image" Target="media/image122.png"/><Relationship Id="rId14" Type="http://schemas.openxmlformats.org/officeDocument/2006/relationships/image" Target="media/image36.png"/><Relationship Id="rId17" Type="http://schemas.openxmlformats.org/officeDocument/2006/relationships/image" Target="media/image187.png"/><Relationship Id="rId16" Type="http://schemas.openxmlformats.org/officeDocument/2006/relationships/image" Target="media/image151.png"/><Relationship Id="rId19" Type="http://schemas.openxmlformats.org/officeDocument/2006/relationships/image" Target="media/image109.png"/><Relationship Id="rId18" Type="http://schemas.openxmlformats.org/officeDocument/2006/relationships/image" Target="media/image50.png"/><Relationship Id="rId84" Type="http://schemas.openxmlformats.org/officeDocument/2006/relationships/image" Target="media/image133.png"/><Relationship Id="rId83" Type="http://schemas.openxmlformats.org/officeDocument/2006/relationships/image" Target="media/image180.png"/><Relationship Id="rId86" Type="http://schemas.openxmlformats.org/officeDocument/2006/relationships/image" Target="media/image140.png"/><Relationship Id="rId85" Type="http://schemas.openxmlformats.org/officeDocument/2006/relationships/image" Target="media/image42.png"/><Relationship Id="rId88" Type="http://schemas.openxmlformats.org/officeDocument/2006/relationships/image" Target="media/image97.png"/><Relationship Id="rId87" Type="http://schemas.openxmlformats.org/officeDocument/2006/relationships/image" Target="media/image70.png"/><Relationship Id="rId89" Type="http://schemas.openxmlformats.org/officeDocument/2006/relationships/image" Target="media/image26.png"/><Relationship Id="rId80" Type="http://schemas.openxmlformats.org/officeDocument/2006/relationships/image" Target="media/image63.png"/><Relationship Id="rId82" Type="http://schemas.openxmlformats.org/officeDocument/2006/relationships/image" Target="media/image67.png"/><Relationship Id="rId81" Type="http://schemas.openxmlformats.org/officeDocument/2006/relationships/image" Target="media/image5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89.png"/><Relationship Id="rId5" Type="http://schemas.openxmlformats.org/officeDocument/2006/relationships/styles" Target="styles.xml"/><Relationship Id="rId6" Type="http://schemas.openxmlformats.org/officeDocument/2006/relationships/image" Target="media/image181.png"/><Relationship Id="rId7" Type="http://schemas.openxmlformats.org/officeDocument/2006/relationships/image" Target="media/image185.png"/><Relationship Id="rId8" Type="http://schemas.openxmlformats.org/officeDocument/2006/relationships/image" Target="media/image182.png"/><Relationship Id="rId73" Type="http://schemas.openxmlformats.org/officeDocument/2006/relationships/image" Target="media/image193.png"/><Relationship Id="rId72" Type="http://schemas.openxmlformats.org/officeDocument/2006/relationships/image" Target="media/image111.png"/><Relationship Id="rId75" Type="http://schemas.openxmlformats.org/officeDocument/2006/relationships/image" Target="media/image48.png"/><Relationship Id="rId74" Type="http://schemas.openxmlformats.org/officeDocument/2006/relationships/image" Target="media/image194.png"/><Relationship Id="rId77" Type="http://schemas.openxmlformats.org/officeDocument/2006/relationships/image" Target="media/image135.png"/><Relationship Id="rId76" Type="http://schemas.openxmlformats.org/officeDocument/2006/relationships/image" Target="media/image176.png"/><Relationship Id="rId79" Type="http://schemas.openxmlformats.org/officeDocument/2006/relationships/image" Target="media/image190.png"/><Relationship Id="rId78" Type="http://schemas.openxmlformats.org/officeDocument/2006/relationships/image" Target="media/image73.png"/><Relationship Id="rId71" Type="http://schemas.openxmlformats.org/officeDocument/2006/relationships/image" Target="media/image100.png"/><Relationship Id="rId70" Type="http://schemas.openxmlformats.org/officeDocument/2006/relationships/image" Target="media/image191.png"/><Relationship Id="rId62" Type="http://schemas.openxmlformats.org/officeDocument/2006/relationships/image" Target="media/image34.png"/><Relationship Id="rId61" Type="http://schemas.openxmlformats.org/officeDocument/2006/relationships/image" Target="media/image138.png"/><Relationship Id="rId64" Type="http://schemas.openxmlformats.org/officeDocument/2006/relationships/image" Target="media/image27.png"/><Relationship Id="rId63" Type="http://schemas.openxmlformats.org/officeDocument/2006/relationships/image" Target="media/image64.png"/><Relationship Id="rId66" Type="http://schemas.openxmlformats.org/officeDocument/2006/relationships/image" Target="media/image139.png"/><Relationship Id="rId65" Type="http://schemas.openxmlformats.org/officeDocument/2006/relationships/image" Target="media/image105.png"/><Relationship Id="rId68" Type="http://schemas.openxmlformats.org/officeDocument/2006/relationships/image" Target="media/image178.png"/><Relationship Id="rId67" Type="http://schemas.openxmlformats.org/officeDocument/2006/relationships/image" Target="media/image134.png"/><Relationship Id="rId60" Type="http://schemas.openxmlformats.org/officeDocument/2006/relationships/image" Target="media/image175.png"/><Relationship Id="rId69" Type="http://schemas.openxmlformats.org/officeDocument/2006/relationships/image" Target="media/image39.png"/><Relationship Id="rId51" Type="http://schemas.openxmlformats.org/officeDocument/2006/relationships/image" Target="media/image30.png"/><Relationship Id="rId50" Type="http://schemas.openxmlformats.org/officeDocument/2006/relationships/image" Target="media/image99.png"/><Relationship Id="rId53" Type="http://schemas.openxmlformats.org/officeDocument/2006/relationships/image" Target="media/image25.png"/><Relationship Id="rId52" Type="http://schemas.openxmlformats.org/officeDocument/2006/relationships/image" Target="media/image127.png"/><Relationship Id="rId55" Type="http://schemas.openxmlformats.org/officeDocument/2006/relationships/image" Target="media/image65.png"/><Relationship Id="rId54" Type="http://schemas.openxmlformats.org/officeDocument/2006/relationships/image" Target="media/image107.png"/><Relationship Id="rId57" Type="http://schemas.openxmlformats.org/officeDocument/2006/relationships/image" Target="media/image168.png"/><Relationship Id="rId56" Type="http://schemas.openxmlformats.org/officeDocument/2006/relationships/image" Target="media/image43.png"/><Relationship Id="rId59" Type="http://schemas.openxmlformats.org/officeDocument/2006/relationships/image" Target="media/image170.png"/><Relationship Id="rId58" Type="http://schemas.openxmlformats.org/officeDocument/2006/relationships/image" Target="media/image6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